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3E" w:rsidRPr="0094333E" w:rsidRDefault="0094333E" w:rsidP="0094333E">
      <w:pPr>
        <w:pStyle w:val="Heading8"/>
        <w:numPr>
          <w:ilvl w:val="0"/>
          <w:numId w:val="0"/>
        </w:numPr>
        <w:jc w:val="center"/>
        <w:rPr>
          <w:b w:val="0"/>
          <w:sz w:val="24"/>
        </w:rPr>
      </w:pPr>
      <w:r w:rsidRPr="0094333E">
        <w:rPr>
          <w:sz w:val="24"/>
        </w:rPr>
        <w:t>PLANUL NAȚIONAL DE REDRESARE ȘI REZILIENȚĂ</w:t>
      </w:r>
    </w:p>
    <w:p w:rsidR="0094333E" w:rsidRPr="0094333E" w:rsidRDefault="0094333E" w:rsidP="0094333E">
      <w:pPr>
        <w:jc w:val="center"/>
        <w:rPr>
          <w:b/>
          <w:caps/>
          <w:sz w:val="24"/>
        </w:rPr>
      </w:pPr>
      <w:r w:rsidRPr="0094333E">
        <w:rPr>
          <w:b/>
          <w:caps/>
          <w:sz w:val="24"/>
        </w:rPr>
        <w:t>COMPONENTA C5 – VALUL RENOVĂRII</w:t>
      </w:r>
    </w:p>
    <w:p w:rsidR="0094333E" w:rsidRPr="0094333E" w:rsidRDefault="0094333E" w:rsidP="0094333E">
      <w:pPr>
        <w:jc w:val="center"/>
        <w:rPr>
          <w:b/>
          <w:caps/>
          <w:sz w:val="24"/>
        </w:rPr>
      </w:pPr>
      <w:r w:rsidRPr="0094333E">
        <w:rPr>
          <w:b/>
          <w:caps/>
          <w:sz w:val="24"/>
        </w:rPr>
        <w:t>AXA 2  - SCHEMA DE GRANTURI PENTRU EFICIENȚĂ ENERGETICĂ ȘI REZILIENȚĂ ÎN CLĂDIRI PUBLICE</w:t>
      </w:r>
    </w:p>
    <w:p w:rsidR="00E53370" w:rsidRPr="0094333E" w:rsidRDefault="0094333E" w:rsidP="0094333E">
      <w:pPr>
        <w:jc w:val="center"/>
        <w:rPr>
          <w:b/>
          <w:caps/>
          <w:sz w:val="24"/>
        </w:rPr>
      </w:pPr>
      <w:r w:rsidRPr="0094333E">
        <w:rPr>
          <w:b/>
          <w:caps/>
          <w:sz w:val="24"/>
        </w:rPr>
        <w:t>OPERAȚIUNEA B.2: RENOVAREA ENERGETICĂ MODERATĂ SAU APROFUNDATĂ A CLĂDIRILOR PUBLICE</w:t>
      </w:r>
    </w:p>
    <w:p w:rsidR="0094333E" w:rsidRPr="0094333E" w:rsidRDefault="00B863D0" w:rsidP="0094333E">
      <w:pPr>
        <w:pStyle w:val="Heading8"/>
        <w:numPr>
          <w:ilvl w:val="0"/>
          <w:numId w:val="0"/>
        </w:numPr>
        <w:jc w:val="center"/>
        <w:rPr>
          <w:sz w:val="24"/>
        </w:rPr>
      </w:pPr>
      <w:r>
        <w:rPr>
          <w:sz w:val="24"/>
        </w:rPr>
        <w:t xml:space="preserve">APELUrilE </w:t>
      </w:r>
      <w:r w:rsidR="0094333E" w:rsidRPr="0094333E">
        <w:rPr>
          <w:sz w:val="24"/>
        </w:rPr>
        <w:t>DE PROIECTE</w:t>
      </w:r>
    </w:p>
    <w:p w:rsidR="0094333E" w:rsidRPr="0094333E" w:rsidRDefault="0094333E" w:rsidP="0094333E">
      <w:pPr>
        <w:jc w:val="center"/>
        <w:rPr>
          <w:b/>
          <w:caps/>
          <w:sz w:val="24"/>
        </w:rPr>
      </w:pPr>
      <w:r w:rsidRPr="0094333E">
        <w:rPr>
          <w:b/>
          <w:caps/>
          <w:sz w:val="24"/>
        </w:rPr>
        <w:t>PNRR/2022/C5/2/B.2.1/1,</w:t>
      </w:r>
    </w:p>
    <w:p w:rsidR="0094333E" w:rsidRDefault="0094333E" w:rsidP="0094333E">
      <w:pPr>
        <w:pStyle w:val="Heading8"/>
        <w:numPr>
          <w:ilvl w:val="0"/>
          <w:numId w:val="0"/>
        </w:numPr>
        <w:jc w:val="center"/>
        <w:rPr>
          <w:sz w:val="24"/>
        </w:rPr>
      </w:pPr>
      <w:r w:rsidRPr="0094333E">
        <w:rPr>
          <w:sz w:val="24"/>
        </w:rPr>
        <w:t>PNRR/2022/C5/2/B.2.2/1</w:t>
      </w:r>
    </w:p>
    <w:p w:rsidR="0094333E" w:rsidRPr="0094333E" w:rsidRDefault="0094333E" w:rsidP="0094333E"/>
    <w:p w:rsidR="0094333E" w:rsidRPr="00981EC3" w:rsidRDefault="0094333E" w:rsidP="0094333E">
      <w:pPr>
        <w:jc w:val="both"/>
        <w:rPr>
          <w:rFonts w:eastAsia="SimSun"/>
          <w:bCs/>
        </w:rPr>
      </w:pPr>
      <w:r w:rsidRPr="00981EC3">
        <w:rPr>
          <w:rFonts w:eastAsia="SimSun"/>
          <w:bCs/>
        </w:rPr>
        <w:t>Prin intermediul componentei C5 - Valul Renovării se propune îmbunătățirea fondului construit printr-o abordare integrată a eficienței energetice, a consolidării seismice, a reducerii riscului la incendiu și a tranziției către clădiri verzi și inteligente, conferind respectul cuvenit pentru estetică și calitatea arhitecturală a acestuia, dezvoltarea unor mecanisme adecvate de monitorizare a performanțelor fondului construit și asigurarea capacității tehnice pentru implementarea investițiilor.</w:t>
      </w:r>
    </w:p>
    <w:p w:rsidR="0094333E" w:rsidRPr="00981EC3" w:rsidRDefault="0094333E" w:rsidP="0094333E">
      <w:pPr>
        <w:jc w:val="both"/>
        <w:rPr>
          <w:rFonts w:eastAsia="SimSun"/>
          <w:bCs/>
        </w:rPr>
      </w:pPr>
      <w:r w:rsidRPr="00981EC3">
        <w:rPr>
          <w:rFonts w:eastAsia="SimSun"/>
          <w:bCs/>
        </w:rPr>
        <w:t xml:space="preserve">În cadrul Investiției 1. Instituirea unui fond pentru Valul renovării care să finanțeze lucrări de creștere a eficienței energetice a fondului construit existent, Axa 2 - Schema de granturi pentru eficiență energetică și reziliență în clădiri publice: renovarea moderată sau aprofundată/ renovare integrată a clădirilor publice se va finanța renovarea energetică a cel puțin 2,3 milioane m² de clădiri publice, prin  următoarele tipuri de proiecte: proiecte integrate (consolidare seismică și eficiență energetică) și proiecte de renovare energetică. </w:t>
      </w:r>
    </w:p>
    <w:p w:rsidR="0094333E" w:rsidRPr="00981EC3" w:rsidRDefault="0094333E" w:rsidP="0094333E">
      <w:pPr>
        <w:jc w:val="both"/>
        <w:rPr>
          <w:rFonts w:eastAsia="SimSun"/>
          <w:bCs/>
          <w:i/>
        </w:rPr>
      </w:pPr>
      <w:r w:rsidRPr="00981EC3">
        <w:rPr>
          <w:rFonts w:eastAsia="SimSun"/>
          <w:bCs/>
        </w:rPr>
        <w:t xml:space="preserve">Schema de finanțare va asigura faptul că cel puțin 90% din alocarea totală pentru Axa 2 va fi utilizată pentru lucrări de creștere a eficienței energetice și nu mai mult de 10% din alocare va fi utilizată pentru consolidarea seismică și alte lucrări complementare (cum ar fi protecția împotriva incendiilor, accesibilitatea etc.). Întreaga schemă va asigura faptul că toate contractele îndeplinesc cerința relevantă de eficiență energetică privind o reducere minimă a consumului de energie cu cel puțin 50 % în comparație cu consumul anual de energie pentru încălzire dinainte de renovare pentru fiecare clădire (cu excepția clădirilor cu statut de bun cultural), lucru care va trebui să asigure o reducere a consumului de energie primară de cel puțin 30% (renovare moderată) și de cel puțin 60% (renovare aprofundată) în comparație cu situația anterioară renovării și va respecta Comunicarea Comisiei </w:t>
      </w:r>
      <w:r>
        <w:rPr>
          <w:rFonts w:eastAsia="SimSun"/>
          <w:bCs/>
        </w:rPr>
        <w:t xml:space="preserve">- </w:t>
      </w:r>
      <w:r>
        <w:rPr>
          <w:rFonts w:eastAsia="SimSun"/>
          <w:bCs/>
          <w:i/>
        </w:rPr>
        <w:t>Orientări</w:t>
      </w:r>
      <w:r w:rsidRPr="00981EC3">
        <w:rPr>
          <w:rFonts w:eastAsia="SimSun"/>
          <w:bCs/>
          <w:i/>
        </w:rPr>
        <w:t xml:space="preserve"> tehnice privind aplicarea principiului de „a nu aduce prejudicii semnificative”</w:t>
      </w:r>
      <w:r w:rsidRPr="00981EC3">
        <w:rPr>
          <w:i/>
        </w:rPr>
        <w:t xml:space="preserve"> </w:t>
      </w:r>
      <w:r w:rsidRPr="00981EC3">
        <w:rPr>
          <w:rFonts w:eastAsia="SimSun"/>
          <w:bCs/>
          <w:i/>
        </w:rPr>
        <w:t>în temeiul Regulamentului privind Mecanismul de redresare și reziliență (2021/C58/01)</w:t>
      </w:r>
      <w:r>
        <w:rPr>
          <w:rStyle w:val="FootnoteReference"/>
          <w:rFonts w:eastAsia="SimSun"/>
          <w:bCs/>
          <w:i/>
        </w:rPr>
        <w:footnoteReference w:id="1"/>
      </w:r>
      <w:r w:rsidRPr="00981EC3">
        <w:rPr>
          <w:rFonts w:eastAsia="SimSun"/>
          <w:bCs/>
          <w:i/>
        </w:rPr>
        <w:t>.</w:t>
      </w:r>
    </w:p>
    <w:p w:rsidR="00AD7C13" w:rsidRPr="00A16BF9" w:rsidRDefault="00AD7C13" w:rsidP="0094333E">
      <w:pPr>
        <w:spacing w:before="0"/>
        <w:jc w:val="both"/>
        <w:rPr>
          <w:rFonts w:eastAsia="SimSun"/>
        </w:rPr>
      </w:pPr>
      <w:bookmarkStart w:id="0" w:name="_Hlk93499021"/>
      <w:r w:rsidRPr="00A16BF9">
        <w:rPr>
          <w:rFonts w:eastAsia="SimSun"/>
        </w:rPr>
        <w:t xml:space="preserve">Alocările financiare </w:t>
      </w:r>
      <w:r w:rsidRPr="00017B51">
        <w:rPr>
          <w:rFonts w:eastAsia="SimSun"/>
          <w:b/>
        </w:rPr>
        <w:t>din PNRR</w:t>
      </w:r>
      <w:r w:rsidR="00AC7CE7" w:rsidRPr="00A16BF9">
        <w:rPr>
          <w:rFonts w:eastAsia="SimSun"/>
        </w:rPr>
        <w:t xml:space="preserve"> (</w:t>
      </w:r>
      <w:r w:rsidR="00AC7CE7" w:rsidRPr="00A16BF9">
        <w:rPr>
          <w:rFonts w:eastAsia="SimSun"/>
          <w:bCs/>
          <w:u w:val="single"/>
        </w:rPr>
        <w:t>937.540.000 Euro)</w:t>
      </w:r>
      <w:r w:rsidRPr="00A16BF9">
        <w:rPr>
          <w:rFonts w:eastAsia="SimSun"/>
        </w:rPr>
        <w:t xml:space="preserve">, pentru renovarea energetică a clădirilor publice au fost făcute în conformitate cu procentele stabilite în cadrul Componentei 5 – Valul Renovării, și anume: 80% din fonduri </w:t>
      </w:r>
      <w:r w:rsidR="00AC7CE7" w:rsidRPr="00977877">
        <w:rPr>
          <w:rFonts w:eastAsia="SimSun"/>
        </w:rPr>
        <w:t>(</w:t>
      </w:r>
      <w:r w:rsidR="00AC7CE7" w:rsidRPr="00977877">
        <w:rPr>
          <w:rFonts w:eastAsia="SimSun"/>
          <w:u w:val="single"/>
        </w:rPr>
        <w:t>750.032.000 Euro</w:t>
      </w:r>
      <w:r w:rsidR="00AC7CE7" w:rsidRPr="00977877">
        <w:rPr>
          <w:rFonts w:eastAsia="SimSun"/>
          <w:bCs/>
        </w:rPr>
        <w:t xml:space="preserve">,) </w:t>
      </w:r>
      <w:r w:rsidRPr="00977877">
        <w:rPr>
          <w:rFonts w:eastAsia="SimSun"/>
        </w:rPr>
        <w:t xml:space="preserve">au fost alocate pentru lucrările de renovarea moderată a clădirilor publice iar restul de 20% </w:t>
      </w:r>
      <w:r w:rsidR="00AC7CE7" w:rsidRPr="00977877">
        <w:rPr>
          <w:rFonts w:eastAsia="SimSun"/>
        </w:rPr>
        <w:t>(</w:t>
      </w:r>
      <w:r w:rsidR="00AC7CE7" w:rsidRPr="00977877">
        <w:rPr>
          <w:rFonts w:eastAsia="SimSun"/>
          <w:u w:val="single"/>
        </w:rPr>
        <w:t>187.508.000 Euro</w:t>
      </w:r>
      <w:r w:rsidR="00AC7CE7" w:rsidRPr="00A16BF9">
        <w:rPr>
          <w:rFonts w:eastAsia="SimSun"/>
        </w:rPr>
        <w:t xml:space="preserve">) </w:t>
      </w:r>
      <w:r w:rsidRPr="00A16BF9">
        <w:rPr>
          <w:rFonts w:eastAsia="SimSun"/>
        </w:rPr>
        <w:t>au fost alocate lucrărilor de renovare aprofundată</w:t>
      </w:r>
      <w:r w:rsidR="00AC7CE7" w:rsidRPr="00A16BF9">
        <w:rPr>
          <w:rFonts w:eastAsia="SimSun"/>
        </w:rPr>
        <w:t>.</w:t>
      </w:r>
    </w:p>
    <w:p w:rsidR="00AC7CE7" w:rsidRDefault="00AC7CE7" w:rsidP="00AC7CE7">
      <w:pPr>
        <w:jc w:val="both"/>
        <w:rPr>
          <w:iCs/>
          <w:noProof/>
          <w:szCs w:val="20"/>
          <w:lang w:val="en-US" w:eastAsia="ro-RO"/>
        </w:rPr>
      </w:pPr>
      <w:r w:rsidRPr="00017B51">
        <w:rPr>
          <w:rFonts w:eastAsia="SimSun"/>
          <w:b/>
          <w:u w:val="single"/>
        </w:rPr>
        <w:t>Alocările financiare provenite din PNRR au fost suplimentate</w:t>
      </w:r>
      <w:r w:rsidRPr="00A16BF9">
        <w:rPr>
          <w:rFonts w:eastAsia="SimSun"/>
        </w:rPr>
        <w:t xml:space="preserve"> în conformitate cu prevederile art. 24 alin (1) din </w:t>
      </w:r>
      <w:r w:rsidRPr="00A16BF9">
        <w:rPr>
          <w:rFonts w:ascii="Tahoma" w:eastAsia="SimSun" w:hAnsi="Tahoma" w:cs="Tahoma"/>
        </w:rPr>
        <w:t>﻿</w:t>
      </w:r>
      <w:r w:rsidRPr="00A16BF9">
        <w:rPr>
          <w:rFonts w:eastAsia="SimSun"/>
        </w:rPr>
        <w:t xml:space="preserve">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proofErr w:type="spellStart"/>
      <w:r w:rsidRPr="00A16BF9">
        <w:rPr>
          <w:rFonts w:eastAsia="SimSun"/>
        </w:rPr>
        <w:t>naţional</w:t>
      </w:r>
      <w:proofErr w:type="spellEnd"/>
      <w:r w:rsidRPr="00A16BF9">
        <w:rPr>
          <w:rFonts w:eastAsia="SimSun"/>
        </w:rPr>
        <w:t xml:space="preserve">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necesar României pentru accesarea de fonduri externe rambursabile </w:t>
      </w:r>
      <w:proofErr w:type="spellStart"/>
      <w:r w:rsidRPr="00A16BF9">
        <w:rPr>
          <w:rFonts w:eastAsia="SimSun"/>
        </w:rPr>
        <w:t>şi</w:t>
      </w:r>
      <w:proofErr w:type="spellEnd"/>
      <w:r w:rsidRPr="00A16BF9">
        <w:rPr>
          <w:rFonts w:eastAsia="SimSun"/>
        </w:rPr>
        <w:t xml:space="preserve"> nerambursabile în cadrul Mecanismului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până la o valoare de </w:t>
      </w:r>
      <w:r w:rsidRPr="00017B51">
        <w:rPr>
          <w:b/>
          <w:iCs/>
          <w:noProof/>
          <w:szCs w:val="20"/>
          <w:u w:val="single"/>
          <w:lang w:val="en-US" w:eastAsia="ro-RO"/>
        </w:rPr>
        <w:t>975.</w:t>
      </w:r>
      <w:r w:rsidR="004C2D38">
        <w:rPr>
          <w:b/>
          <w:iCs/>
          <w:noProof/>
          <w:szCs w:val="20"/>
          <w:u w:val="single"/>
          <w:lang w:val="en-US" w:eastAsia="ro-RO"/>
        </w:rPr>
        <w:t>041.600</w:t>
      </w:r>
      <w:r w:rsidRPr="00017B51">
        <w:rPr>
          <w:b/>
          <w:iCs/>
          <w:noProof/>
          <w:szCs w:val="20"/>
          <w:u w:val="single"/>
          <w:lang w:val="en-US" w:eastAsia="ro-RO"/>
        </w:rPr>
        <w:t xml:space="preserve"> Euro</w:t>
      </w:r>
      <w:r w:rsidRPr="00A16BF9">
        <w:rPr>
          <w:iCs/>
          <w:noProof/>
          <w:szCs w:val="20"/>
          <w:u w:val="single"/>
          <w:lang w:val="en-US" w:eastAsia="ro-RO"/>
        </w:rPr>
        <w:t xml:space="preserve"> </w:t>
      </w:r>
      <w:r w:rsidRPr="00A16BF9">
        <w:rPr>
          <w:iCs/>
          <w:noProof/>
          <w:szCs w:val="20"/>
          <w:lang w:val="en-US" w:eastAsia="ro-RO"/>
        </w:rPr>
        <w:t xml:space="preserve">pentru lucrările de renovare moderată a clădirilor publice, </w:t>
      </w:r>
      <w:r w:rsidRPr="00017B51">
        <w:rPr>
          <w:b/>
          <w:iCs/>
          <w:noProof/>
          <w:szCs w:val="20"/>
          <w:lang w:val="en-US" w:eastAsia="ro-RO"/>
        </w:rPr>
        <w:t>și</w:t>
      </w:r>
      <w:r w:rsidRPr="00017B51">
        <w:rPr>
          <w:b/>
          <w:iCs/>
          <w:noProof/>
          <w:szCs w:val="20"/>
          <w:u w:val="single"/>
          <w:lang w:val="en-US" w:eastAsia="ro-RO"/>
        </w:rPr>
        <w:t xml:space="preserve"> 243.</w:t>
      </w:r>
      <w:r w:rsidR="004C2D38">
        <w:rPr>
          <w:b/>
          <w:iCs/>
          <w:noProof/>
          <w:szCs w:val="20"/>
          <w:u w:val="single"/>
          <w:lang w:val="en-US" w:eastAsia="ro-RO"/>
        </w:rPr>
        <w:t>760.400</w:t>
      </w:r>
      <w:r w:rsidRPr="00017B51">
        <w:rPr>
          <w:b/>
          <w:iCs/>
          <w:noProof/>
          <w:szCs w:val="20"/>
          <w:u w:val="single"/>
          <w:lang w:val="en-US" w:eastAsia="ro-RO"/>
        </w:rPr>
        <w:t xml:space="preserve"> Euro</w:t>
      </w:r>
      <w:r w:rsidRPr="00A16BF9">
        <w:rPr>
          <w:iCs/>
          <w:noProof/>
          <w:szCs w:val="20"/>
          <w:u w:val="single"/>
          <w:lang w:val="en-US" w:eastAsia="ro-RO"/>
        </w:rPr>
        <w:t xml:space="preserve"> </w:t>
      </w:r>
      <w:r w:rsidRPr="00A16BF9">
        <w:rPr>
          <w:iCs/>
          <w:noProof/>
          <w:szCs w:val="20"/>
          <w:lang w:val="en-US" w:eastAsia="ro-RO"/>
        </w:rPr>
        <w:t>pentru lucările de renovare aprofundată a clădirilor publice.</w:t>
      </w:r>
    </w:p>
    <w:p w:rsidR="00017B51" w:rsidRPr="00017B51" w:rsidRDefault="00017B51" w:rsidP="00017B51">
      <w:pPr>
        <w:spacing w:before="0"/>
        <w:jc w:val="both"/>
        <w:rPr>
          <w:rFonts w:eastAsia="SimSun"/>
          <w:b/>
          <w:sz w:val="24"/>
        </w:rPr>
      </w:pPr>
      <w:r w:rsidRPr="00017B51">
        <w:rPr>
          <w:rFonts w:eastAsia="SimSun"/>
          <w:b/>
          <w:sz w:val="24"/>
        </w:rPr>
        <w:t>Apelul de proiecte de renovare energetică moderată a clădirilor publice, titlu apel: PNRR/2022/C5/2/B.2.1/1</w:t>
      </w:r>
    </w:p>
    <w:p w:rsidR="00951120" w:rsidRPr="00E357AA" w:rsidRDefault="00AC7CE7" w:rsidP="00E357AA">
      <w:pPr>
        <w:pStyle w:val="ListParagraph"/>
        <w:numPr>
          <w:ilvl w:val="0"/>
          <w:numId w:val="11"/>
        </w:numPr>
        <w:tabs>
          <w:tab w:val="left" w:pos="284"/>
        </w:tabs>
        <w:ind w:left="0" w:firstLine="0"/>
        <w:jc w:val="both"/>
        <w:rPr>
          <w:rFonts w:eastAsia="SimSun"/>
          <w:u w:val="single"/>
        </w:rPr>
      </w:pPr>
      <w:r w:rsidRPr="00E357AA">
        <w:rPr>
          <w:iCs/>
          <w:noProof/>
          <w:szCs w:val="20"/>
          <w:lang w:val="en-US" w:eastAsia="ro-RO"/>
        </w:rPr>
        <w:lastRenderedPageBreak/>
        <w:t xml:space="preserve">Astfel, </w:t>
      </w:r>
      <w:r w:rsidRPr="00E357AA">
        <w:rPr>
          <w:b/>
          <w:iCs/>
          <w:noProof/>
          <w:szCs w:val="20"/>
          <w:lang w:val="en-US" w:eastAsia="ro-RO"/>
        </w:rPr>
        <w:t>pentru apelul de proiecte de renovare moderată a clădirilor publice</w:t>
      </w:r>
      <w:r w:rsidR="00951120" w:rsidRPr="00E357AA">
        <w:rPr>
          <w:b/>
          <w:iCs/>
          <w:noProof/>
          <w:szCs w:val="20"/>
          <w:lang w:val="en-US" w:eastAsia="ro-RO"/>
        </w:rPr>
        <w:t xml:space="preserve">, titlul apel </w:t>
      </w:r>
      <w:r w:rsidR="00951120" w:rsidRPr="00E357AA">
        <w:rPr>
          <w:rFonts w:eastAsia="SimSun"/>
          <w:b/>
          <w:u w:val="single"/>
        </w:rPr>
        <w:t>PNRR/2022/C5/2/B.2.1/1</w:t>
      </w:r>
      <w:r w:rsidR="00951120" w:rsidRPr="00E357AA">
        <w:rPr>
          <w:rFonts w:eastAsia="SimSun"/>
          <w:u w:val="single"/>
        </w:rPr>
        <w:t xml:space="preserve"> </w:t>
      </w:r>
      <w:r w:rsidR="00E357AA" w:rsidRPr="00E357AA">
        <w:rPr>
          <w:rFonts w:eastAsia="SimSun"/>
          <w:b/>
          <w:u w:val="single"/>
        </w:rPr>
        <w:t>(</w:t>
      </w:r>
      <w:r w:rsidR="00E357AA" w:rsidRPr="00E357AA">
        <w:rPr>
          <w:b/>
          <w:iCs/>
          <w:noProof/>
          <w:szCs w:val="20"/>
          <w:u w:val="single"/>
          <w:lang w:val="en-US" w:eastAsia="ro-RO"/>
        </w:rPr>
        <w:t>975.</w:t>
      </w:r>
      <w:r w:rsidR="004C2D38">
        <w:rPr>
          <w:b/>
          <w:iCs/>
          <w:noProof/>
          <w:szCs w:val="20"/>
          <w:u w:val="single"/>
          <w:lang w:val="en-US" w:eastAsia="ro-RO"/>
        </w:rPr>
        <w:t>041.600</w:t>
      </w:r>
      <w:r w:rsidR="00E357AA" w:rsidRPr="00E357AA">
        <w:rPr>
          <w:b/>
          <w:iCs/>
          <w:noProof/>
          <w:szCs w:val="20"/>
          <w:u w:val="single"/>
          <w:lang w:val="en-US" w:eastAsia="ro-RO"/>
        </w:rPr>
        <w:t xml:space="preserve"> Euro</w:t>
      </w:r>
      <w:r w:rsidR="00E357AA">
        <w:rPr>
          <w:iCs/>
          <w:noProof/>
          <w:szCs w:val="20"/>
          <w:u w:val="single"/>
          <w:lang w:val="en-US" w:eastAsia="ro-RO"/>
        </w:rPr>
        <w:t>),</w:t>
      </w:r>
      <w:r w:rsidR="00E357AA" w:rsidRPr="00A16BF9">
        <w:rPr>
          <w:iCs/>
          <w:noProof/>
          <w:szCs w:val="20"/>
          <w:u w:val="single"/>
          <w:lang w:val="en-US" w:eastAsia="ro-RO"/>
        </w:rPr>
        <w:t xml:space="preserve"> </w:t>
      </w:r>
      <w:r w:rsidR="00951120" w:rsidRPr="00E357AA">
        <w:rPr>
          <w:rFonts w:eastAsia="SimSun"/>
        </w:rPr>
        <w:t>sumele au fost distribuite între solicitanții eligibili, astfel:</w:t>
      </w:r>
    </w:p>
    <w:p w:rsidR="00951120" w:rsidRPr="00A16BF9" w:rsidRDefault="00951120" w:rsidP="00017B51">
      <w:pPr>
        <w:pStyle w:val="ListParagraph"/>
        <w:numPr>
          <w:ilvl w:val="0"/>
          <w:numId w:val="6"/>
        </w:numPr>
        <w:ind w:left="714" w:hanging="357"/>
        <w:contextualSpacing w:val="0"/>
        <w:jc w:val="both"/>
        <w:rPr>
          <w:rFonts w:eastAsia="SimSun"/>
        </w:rPr>
      </w:pPr>
      <w:r w:rsidRPr="00A16BF9">
        <w:rPr>
          <w:iCs/>
          <w:noProof/>
          <w:szCs w:val="20"/>
          <w:lang w:eastAsia="ro-RO"/>
        </w:rPr>
        <w:t>autorități publice centrale – o alocare de 17% din total (reprezentând aproximativ o șesime)</w:t>
      </w:r>
      <w:r w:rsidR="00E357AA">
        <w:rPr>
          <w:iCs/>
          <w:noProof/>
          <w:szCs w:val="20"/>
          <w:lang w:eastAsia="ro-RO"/>
        </w:rPr>
        <w:t>,</w:t>
      </w:r>
    </w:p>
    <w:p w:rsidR="00AC7CE7" w:rsidRPr="00A16BF9" w:rsidRDefault="00951120" w:rsidP="00017B51">
      <w:pPr>
        <w:pStyle w:val="ListParagraph"/>
        <w:numPr>
          <w:ilvl w:val="0"/>
          <w:numId w:val="6"/>
        </w:numPr>
        <w:ind w:left="714" w:hanging="357"/>
        <w:contextualSpacing w:val="0"/>
        <w:jc w:val="both"/>
        <w:rPr>
          <w:rFonts w:eastAsia="SimSun"/>
        </w:rPr>
      </w:pPr>
      <w:r w:rsidRPr="00A16BF9">
        <w:rPr>
          <w:rFonts w:eastAsia="SimSun"/>
        </w:rPr>
        <w:t>autorități/instituții publice locale – o alocare de 83% din total, repartizată pe județe</w:t>
      </w:r>
      <w:r w:rsidR="00E357AA">
        <w:rPr>
          <w:rFonts w:eastAsia="SimSun"/>
        </w:rPr>
        <w:t>.</w:t>
      </w:r>
    </w:p>
    <w:p w:rsidR="00A16BF9" w:rsidRDefault="00A16BF9" w:rsidP="0094333E">
      <w:pPr>
        <w:spacing w:before="0"/>
        <w:jc w:val="both"/>
        <w:rPr>
          <w:rFonts w:eastAsia="SimSun"/>
        </w:rPr>
      </w:pPr>
    </w:p>
    <w:p w:rsidR="00A16BF9" w:rsidRPr="00A16BF9" w:rsidRDefault="00A16BF9" w:rsidP="00017B51">
      <w:pPr>
        <w:pStyle w:val="ListParagraph"/>
        <w:numPr>
          <w:ilvl w:val="0"/>
          <w:numId w:val="7"/>
        </w:numPr>
        <w:spacing w:before="0"/>
        <w:ind w:left="284" w:hanging="284"/>
        <w:contextualSpacing w:val="0"/>
        <w:jc w:val="both"/>
        <w:rPr>
          <w:iCs/>
          <w:noProof/>
          <w:szCs w:val="20"/>
          <w:lang w:eastAsia="ro-RO"/>
        </w:rPr>
      </w:pPr>
      <w:r w:rsidRPr="00A16BF9">
        <w:rPr>
          <w:iCs/>
          <w:noProof/>
          <w:szCs w:val="20"/>
          <w:lang w:eastAsia="ro-RO"/>
        </w:rPr>
        <w:t xml:space="preserve">Pentru solicitanții eligibili </w:t>
      </w:r>
      <w:r w:rsidRPr="00E357AA">
        <w:rPr>
          <w:b/>
          <w:iCs/>
          <w:noProof/>
          <w:szCs w:val="20"/>
          <w:lang w:eastAsia="ro-RO"/>
        </w:rPr>
        <w:t>Autorități publice centrale</w:t>
      </w:r>
      <w:r w:rsidRPr="00A16BF9">
        <w:rPr>
          <w:iCs/>
          <w:noProof/>
          <w:szCs w:val="20"/>
          <w:lang w:eastAsia="ro-RO"/>
        </w:rPr>
        <w:t xml:space="preserve"> </w:t>
      </w:r>
      <w:r w:rsidRPr="00A16BF9">
        <w:t>definiți la secțiunea 2.6 din Ghid</w:t>
      </w:r>
      <w:r w:rsidRPr="00A16BF9">
        <w:rPr>
          <w:iCs/>
          <w:noProof/>
          <w:szCs w:val="20"/>
          <w:lang w:eastAsia="ro-RO"/>
        </w:rPr>
        <w:t xml:space="preserve">, alocare financiară totală este de </w:t>
      </w:r>
      <w:r w:rsidRPr="00A16BF9">
        <w:rPr>
          <w:iCs/>
          <w:noProof/>
          <w:szCs w:val="20"/>
          <w:u w:val="single"/>
          <w:lang w:val="en-US" w:eastAsia="ro-RO"/>
        </w:rPr>
        <w:t>85.316.140 Euro, astfel</w:t>
      </w:r>
      <w:r w:rsidRPr="00A16BF9">
        <w:rPr>
          <w:iCs/>
          <w:noProof/>
          <w:szCs w:val="20"/>
          <w:lang w:eastAsia="ro-RO"/>
        </w:rPr>
        <w:t>:</w:t>
      </w:r>
    </w:p>
    <w:p w:rsidR="00A16BF9" w:rsidRPr="00A16BF9" w:rsidRDefault="00A16BF9" w:rsidP="00017B51">
      <w:pPr>
        <w:pStyle w:val="ListParagraph"/>
        <w:numPr>
          <w:ilvl w:val="0"/>
          <w:numId w:val="10"/>
        </w:numPr>
        <w:spacing w:before="0"/>
        <w:contextualSpacing w:val="0"/>
        <w:jc w:val="both"/>
        <w:rPr>
          <w:iCs/>
          <w:noProof/>
          <w:szCs w:val="20"/>
          <w:lang w:eastAsia="ro-RO"/>
        </w:rPr>
      </w:pPr>
      <w:r w:rsidRPr="00A16BF9">
        <w:rPr>
          <w:iCs/>
          <w:noProof/>
          <w:szCs w:val="20"/>
          <w:lang w:eastAsia="ro-RO"/>
        </w:rPr>
        <w:t xml:space="preserve">Alocare financiară din PNRR: </w:t>
      </w:r>
      <w:r w:rsidRPr="00A16BF9">
        <w:rPr>
          <w:iCs/>
          <w:noProof/>
          <w:szCs w:val="20"/>
          <w:u w:val="single"/>
          <w:lang w:eastAsia="ro-RO"/>
        </w:rPr>
        <w:t>65.627.800</w:t>
      </w:r>
      <w:r w:rsidRPr="00A16BF9">
        <w:rPr>
          <w:iCs/>
          <w:noProof/>
          <w:szCs w:val="20"/>
          <w:lang w:eastAsia="ro-RO"/>
        </w:rPr>
        <w:t xml:space="preserve"> Euro</w:t>
      </w:r>
    </w:p>
    <w:p w:rsidR="00A16BF9" w:rsidRDefault="00A16BF9" w:rsidP="00017B51">
      <w:pPr>
        <w:pStyle w:val="ListParagraph"/>
        <w:numPr>
          <w:ilvl w:val="0"/>
          <w:numId w:val="10"/>
        </w:numPr>
        <w:spacing w:before="0"/>
        <w:contextualSpacing w:val="0"/>
        <w:jc w:val="both"/>
        <w:rPr>
          <w:rFonts w:eastAsia="SimSun"/>
        </w:rPr>
      </w:pPr>
      <w:r w:rsidRPr="00A16BF9">
        <w:rPr>
          <w:iCs/>
          <w:noProof/>
          <w:szCs w:val="20"/>
          <w:lang w:eastAsia="ro-RO"/>
        </w:rPr>
        <w:t xml:space="preserve">Alocare financiară suplimentară, pe lângă finanțarea din PNRR, conform art. 24 alin (1) din Ordonanţă de urgenţă nr. 124/2021: </w:t>
      </w:r>
      <w:r w:rsidRPr="00A16BF9">
        <w:rPr>
          <w:rFonts w:eastAsia="SimSun"/>
          <w:u w:val="single"/>
        </w:rPr>
        <w:t xml:space="preserve">19.688.340 </w:t>
      </w:r>
      <w:r w:rsidRPr="00A16BF9">
        <w:rPr>
          <w:iCs/>
          <w:noProof/>
          <w:szCs w:val="20"/>
          <w:lang w:eastAsia="ro-RO"/>
        </w:rPr>
        <w:t>Euro</w:t>
      </w:r>
      <w:r w:rsidRPr="00A16BF9">
        <w:rPr>
          <w:rFonts w:eastAsia="SimSun"/>
        </w:rPr>
        <w:t>.</w:t>
      </w:r>
    </w:p>
    <w:p w:rsidR="00A16BF9" w:rsidRPr="00A16BF9" w:rsidRDefault="00A16BF9" w:rsidP="00A16BF9">
      <w:pPr>
        <w:pStyle w:val="ListParagraph"/>
        <w:spacing w:before="0"/>
        <w:jc w:val="both"/>
        <w:rPr>
          <w:rFonts w:eastAsia="SimSun"/>
        </w:rPr>
      </w:pPr>
    </w:p>
    <w:p w:rsidR="00A16BF9" w:rsidRPr="00A16BF9" w:rsidRDefault="00A16BF9" w:rsidP="00017B51">
      <w:pPr>
        <w:pStyle w:val="ListParagraph"/>
        <w:numPr>
          <w:ilvl w:val="0"/>
          <w:numId w:val="7"/>
        </w:numPr>
        <w:ind w:left="284" w:hanging="284"/>
        <w:contextualSpacing w:val="0"/>
        <w:jc w:val="both"/>
      </w:pPr>
      <w:r w:rsidRPr="00A16BF9">
        <w:rPr>
          <w:iCs/>
          <w:noProof/>
          <w:szCs w:val="20"/>
          <w:lang w:eastAsia="ro-RO"/>
        </w:rPr>
        <w:t xml:space="preserve">Pentru solicitanții eligibili </w:t>
      </w:r>
      <w:r w:rsidRPr="00E357AA">
        <w:rPr>
          <w:b/>
          <w:iCs/>
          <w:noProof/>
          <w:szCs w:val="20"/>
          <w:lang w:eastAsia="ro-RO"/>
        </w:rPr>
        <w:t>a</w:t>
      </w:r>
      <w:proofErr w:type="spellStart"/>
      <w:r w:rsidRPr="00E357AA">
        <w:rPr>
          <w:b/>
        </w:rPr>
        <w:t>utorități</w:t>
      </w:r>
      <w:proofErr w:type="spellEnd"/>
      <w:r w:rsidRPr="00E357AA">
        <w:rPr>
          <w:b/>
        </w:rPr>
        <w:t>/instituții publice locale</w:t>
      </w:r>
      <w:r w:rsidRPr="00A16BF9">
        <w:t xml:space="preserve"> definiți la secțiunea 2.6 din Ghid, alocarea financiară totală este de </w:t>
      </w:r>
      <w:r w:rsidRPr="00A16BF9">
        <w:rPr>
          <w:iCs/>
          <w:noProof/>
          <w:szCs w:val="20"/>
          <w:u w:val="single"/>
          <w:lang w:val="en-US" w:eastAsia="ro-RO"/>
        </w:rPr>
        <w:t>889.725.460 Euro, astfel:</w:t>
      </w:r>
    </w:p>
    <w:p w:rsidR="00A16BF9" w:rsidRPr="00E357AA" w:rsidRDefault="00A16BF9" w:rsidP="00017B51">
      <w:pPr>
        <w:pStyle w:val="ListParagraph"/>
        <w:numPr>
          <w:ilvl w:val="0"/>
          <w:numId w:val="9"/>
        </w:numPr>
        <w:ind w:left="714" w:hanging="357"/>
        <w:contextualSpacing w:val="0"/>
        <w:jc w:val="both"/>
        <w:rPr>
          <w:rFonts w:eastAsia="SimSun"/>
        </w:rPr>
      </w:pPr>
      <w:r w:rsidRPr="00E357AA">
        <w:rPr>
          <w:iCs/>
          <w:noProof/>
          <w:szCs w:val="20"/>
          <w:lang w:eastAsia="ro-RO"/>
        </w:rPr>
        <w:t xml:space="preserve">Alocare financiară din PNRR: </w:t>
      </w:r>
      <w:r w:rsidRPr="00E357AA">
        <w:rPr>
          <w:rFonts w:eastAsia="SimSun"/>
        </w:rPr>
        <w:t xml:space="preserve">684.404.200 </w:t>
      </w:r>
      <w:r w:rsidRPr="00E357AA">
        <w:rPr>
          <w:iCs/>
          <w:noProof/>
          <w:szCs w:val="20"/>
          <w:lang w:eastAsia="ro-RO"/>
        </w:rPr>
        <w:t xml:space="preserve">Euro, </w:t>
      </w:r>
      <w:r w:rsidRPr="00E357AA">
        <w:rPr>
          <w:rFonts w:eastAsia="SimSun"/>
        </w:rPr>
        <w:t>repartizată teritorial, pe județe.</w:t>
      </w:r>
    </w:p>
    <w:p w:rsidR="00A16BF9" w:rsidRPr="00E357AA" w:rsidRDefault="00A16BF9" w:rsidP="00017B51">
      <w:pPr>
        <w:pStyle w:val="ListParagraph"/>
        <w:numPr>
          <w:ilvl w:val="0"/>
          <w:numId w:val="9"/>
        </w:numPr>
        <w:ind w:left="714" w:hanging="357"/>
        <w:contextualSpacing w:val="0"/>
        <w:jc w:val="both"/>
        <w:rPr>
          <w:rFonts w:eastAsia="SimSun"/>
        </w:rPr>
      </w:pPr>
      <w:r w:rsidRPr="00E357AA">
        <w:rPr>
          <w:iCs/>
          <w:noProof/>
          <w:szCs w:val="20"/>
          <w:lang w:eastAsia="ro-RO"/>
        </w:rPr>
        <w:t xml:space="preserve">Alocare financiară suplimentară, pe lângă finanțarea din PNRR, conform art. 24 alin (1) din Ordonanţă de urgenţă nr. 124/2021: </w:t>
      </w:r>
      <w:r w:rsidRPr="00E357AA">
        <w:rPr>
          <w:rFonts w:eastAsia="SimSun"/>
        </w:rPr>
        <w:t xml:space="preserve">205.321.260 </w:t>
      </w:r>
      <w:r w:rsidRPr="00E357AA">
        <w:rPr>
          <w:iCs/>
          <w:noProof/>
          <w:szCs w:val="20"/>
          <w:lang w:eastAsia="ro-RO"/>
        </w:rPr>
        <w:t xml:space="preserve">Euro, </w:t>
      </w:r>
      <w:r w:rsidRPr="00E357AA">
        <w:rPr>
          <w:rFonts w:eastAsia="SimSun"/>
        </w:rPr>
        <w:t>repartizată teritorial, pe județe.</w:t>
      </w:r>
    </w:p>
    <w:p w:rsidR="00951120" w:rsidRPr="00A16BF9" w:rsidRDefault="00A16BF9" w:rsidP="0094333E">
      <w:pPr>
        <w:spacing w:before="0"/>
        <w:jc w:val="both"/>
        <w:rPr>
          <w:rFonts w:eastAsia="SimSun"/>
        </w:rPr>
      </w:pPr>
      <w:r w:rsidRPr="00A16BF9">
        <w:rPr>
          <w:rFonts w:eastAsia="SimSun"/>
        </w:rPr>
        <w:t>R</w:t>
      </w:r>
      <w:r w:rsidR="00951120" w:rsidRPr="00A16BF9">
        <w:rPr>
          <w:rFonts w:eastAsia="SimSun"/>
        </w:rPr>
        <w:t>epartizarea teritorială pe județe a alocării aferente autorităților/ instituțiilor publice locale s-</w:t>
      </w:r>
      <w:r>
        <w:rPr>
          <w:rFonts w:eastAsia="SimSun"/>
        </w:rPr>
        <w:t>a</w:t>
      </w:r>
      <w:r w:rsidR="00951120" w:rsidRPr="00A16BF9">
        <w:rPr>
          <w:rFonts w:eastAsia="SimSun"/>
        </w:rPr>
        <w:t xml:space="preserve"> făcut ținând cont de trei factori:</w:t>
      </w:r>
    </w:p>
    <w:p w:rsidR="00951120" w:rsidRPr="00A16BF9" w:rsidRDefault="00951120" w:rsidP="00017B51">
      <w:pPr>
        <w:pStyle w:val="ListParagraph"/>
        <w:numPr>
          <w:ilvl w:val="0"/>
          <w:numId w:val="5"/>
        </w:numPr>
        <w:ind w:left="714" w:hanging="357"/>
        <w:contextualSpacing w:val="0"/>
        <w:jc w:val="both"/>
        <w:rPr>
          <w:rFonts w:eastAsia="SimSun"/>
        </w:rPr>
      </w:pPr>
      <w:r w:rsidRPr="00A16BF9">
        <w:rPr>
          <w:rFonts w:eastAsia="SimSun"/>
        </w:rPr>
        <w:t>35% din sumă distribuită în mod egal tuturor județelor</w:t>
      </w:r>
      <w:r w:rsidR="00A16BF9">
        <w:rPr>
          <w:rFonts w:eastAsia="SimSun"/>
        </w:rPr>
        <w:t>,</w:t>
      </w:r>
    </w:p>
    <w:p w:rsidR="00951120" w:rsidRPr="00A16BF9" w:rsidRDefault="00951120" w:rsidP="00017B51">
      <w:pPr>
        <w:pStyle w:val="ListParagraph"/>
        <w:numPr>
          <w:ilvl w:val="0"/>
          <w:numId w:val="5"/>
        </w:numPr>
        <w:ind w:left="714" w:hanging="357"/>
        <w:contextualSpacing w:val="0"/>
        <w:jc w:val="both"/>
        <w:rPr>
          <w:rFonts w:eastAsia="SimSun"/>
        </w:rPr>
      </w:pPr>
      <w:r w:rsidRPr="00A16BF9">
        <w:rPr>
          <w:rFonts w:eastAsia="SimSun"/>
        </w:rPr>
        <w:t>40% din sumă distribuită proporțional, în funcție de populația rezidentă din fiecare județ</w:t>
      </w:r>
      <w:r w:rsidR="00A16BF9">
        <w:rPr>
          <w:rFonts w:eastAsia="SimSun"/>
        </w:rPr>
        <w:t>,</w:t>
      </w:r>
    </w:p>
    <w:p w:rsidR="00951120" w:rsidRPr="00A16BF9" w:rsidRDefault="00951120" w:rsidP="00017B51">
      <w:pPr>
        <w:pStyle w:val="ListParagraph"/>
        <w:numPr>
          <w:ilvl w:val="0"/>
          <w:numId w:val="5"/>
        </w:numPr>
        <w:ind w:left="714" w:hanging="357"/>
        <w:contextualSpacing w:val="0"/>
        <w:jc w:val="both"/>
        <w:rPr>
          <w:rFonts w:eastAsia="SimSun"/>
        </w:rPr>
      </w:pPr>
      <w:r w:rsidRPr="00A16BF9">
        <w:rPr>
          <w:rFonts w:eastAsia="SimSun"/>
        </w:rPr>
        <w:t xml:space="preserve">25% din sumă distribuită proporțional, în </w:t>
      </w:r>
      <w:r w:rsidR="00A16BF9" w:rsidRPr="00A16BF9">
        <w:rPr>
          <w:rFonts w:eastAsia="SimSun"/>
        </w:rPr>
        <w:t>funcție de numărul de municipii din fiecare județ</w:t>
      </w:r>
      <w:r w:rsidR="00A16BF9">
        <w:rPr>
          <w:rFonts w:eastAsia="SimSun"/>
        </w:rPr>
        <w:t>.</w:t>
      </w:r>
    </w:p>
    <w:p w:rsidR="00A16BF9" w:rsidRPr="00A16BF9" w:rsidRDefault="00A16BF9" w:rsidP="00A16BF9">
      <w:pPr>
        <w:spacing w:before="0"/>
        <w:jc w:val="both"/>
        <w:rPr>
          <w:rFonts w:eastAsia="SimSun"/>
        </w:rPr>
      </w:pPr>
      <w:r w:rsidRPr="00A16BF9">
        <w:rPr>
          <w:rFonts w:eastAsia="SimSun"/>
        </w:rPr>
        <w:t>Deoarece județul Ilfov nu are municipii, nu are alocare separată.</w:t>
      </w:r>
    </w:p>
    <w:tbl>
      <w:tblPr>
        <w:tblW w:w="0" w:type="auto"/>
        <w:jc w:val="center"/>
        <w:tblLook w:val="04A0" w:firstRow="1" w:lastRow="0" w:firstColumn="1" w:lastColumn="0" w:noHBand="0" w:noVBand="1"/>
      </w:tblPr>
      <w:tblGrid>
        <w:gridCol w:w="1888"/>
        <w:gridCol w:w="2488"/>
        <w:gridCol w:w="2337"/>
        <w:gridCol w:w="2303"/>
      </w:tblGrid>
      <w:tr w:rsidR="00A16BF9" w:rsidRPr="00981EC3" w:rsidTr="00681530">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000000" w:fill="FFFFFF"/>
          </w:tcPr>
          <w:p w:rsidR="00A16BF9" w:rsidRPr="00981EC3" w:rsidRDefault="00A16BF9" w:rsidP="00681530">
            <w:pPr>
              <w:spacing w:before="0" w:after="0"/>
              <w:rPr>
                <w:rFonts w:cs="Calibri"/>
                <w:szCs w:val="20"/>
              </w:rPr>
            </w:pPr>
            <w:r w:rsidRPr="00981EC3">
              <w:rPr>
                <w:rFonts w:eastAsia="SimSun"/>
                <w:szCs w:val="20"/>
              </w:rPr>
              <w:t>Județ</w:t>
            </w:r>
          </w:p>
        </w:tc>
        <w:tc>
          <w:tcPr>
            <w:tcW w:w="2745" w:type="dxa"/>
            <w:tcBorders>
              <w:top w:val="single" w:sz="4" w:space="0" w:color="auto"/>
              <w:left w:val="single" w:sz="4" w:space="0" w:color="auto"/>
              <w:bottom w:val="single" w:sz="4" w:space="0" w:color="auto"/>
              <w:right w:val="single" w:sz="4" w:space="0" w:color="auto"/>
            </w:tcBorders>
            <w:shd w:val="clear" w:color="000000" w:fill="FFFFFF"/>
            <w:hideMark/>
          </w:tcPr>
          <w:p w:rsidR="00A16BF9" w:rsidRPr="00981EC3" w:rsidRDefault="00A16BF9" w:rsidP="00681530">
            <w:pPr>
              <w:spacing w:before="0" w:after="0"/>
              <w:jc w:val="center"/>
              <w:rPr>
                <w:rFonts w:cs="Calibri"/>
                <w:szCs w:val="20"/>
              </w:rPr>
            </w:pPr>
            <w:r w:rsidRPr="00981EC3">
              <w:rPr>
                <w:bCs/>
                <w:i/>
                <w:szCs w:val="20"/>
                <w:lang w:eastAsia="ro-RO"/>
              </w:rPr>
              <w:t>Valoare eligibilă PNRR</w:t>
            </w:r>
            <w:r w:rsidRPr="00981EC3">
              <w:rPr>
                <w:bCs/>
                <w:i/>
                <w:szCs w:val="20"/>
                <w:lang w:eastAsia="ro-RO"/>
              </w:rPr>
              <w:br/>
              <w:t>(euro)</w:t>
            </w:r>
          </w:p>
        </w:tc>
        <w:tc>
          <w:tcPr>
            <w:tcW w:w="2523" w:type="dxa"/>
            <w:tcBorders>
              <w:top w:val="single" w:sz="4" w:space="0" w:color="auto"/>
              <w:left w:val="single" w:sz="4" w:space="0" w:color="auto"/>
              <w:bottom w:val="single" w:sz="4" w:space="0" w:color="auto"/>
              <w:right w:val="single" w:sz="4" w:space="0" w:color="auto"/>
            </w:tcBorders>
            <w:shd w:val="clear" w:color="000000" w:fill="FFFFFF"/>
          </w:tcPr>
          <w:p w:rsidR="00A16BF9" w:rsidRPr="00981EC3" w:rsidRDefault="00A16BF9" w:rsidP="00681530">
            <w:pPr>
              <w:spacing w:before="0" w:after="0"/>
              <w:jc w:val="center"/>
              <w:rPr>
                <w:bCs/>
                <w:i/>
                <w:szCs w:val="20"/>
                <w:lang w:eastAsia="ro-RO"/>
              </w:rPr>
            </w:pPr>
            <w:r>
              <w:rPr>
                <w:bCs/>
                <w:i/>
                <w:szCs w:val="20"/>
                <w:lang w:eastAsia="ro-RO"/>
              </w:rPr>
              <w:t>Valoare suplimentară cf. OUG 124/2021* (euro)</w:t>
            </w:r>
          </w:p>
        </w:tc>
        <w:tc>
          <w:tcPr>
            <w:tcW w:w="2523" w:type="dxa"/>
            <w:tcBorders>
              <w:top w:val="single" w:sz="4" w:space="0" w:color="auto"/>
              <w:left w:val="single" w:sz="4" w:space="0" w:color="auto"/>
              <w:bottom w:val="single" w:sz="4" w:space="0" w:color="auto"/>
              <w:right w:val="single" w:sz="4" w:space="0" w:color="auto"/>
            </w:tcBorders>
            <w:shd w:val="clear" w:color="000000" w:fill="FFFFFF"/>
          </w:tcPr>
          <w:p w:rsidR="00A16BF9" w:rsidRPr="00981EC3" w:rsidRDefault="00A16BF9" w:rsidP="00681530">
            <w:pPr>
              <w:spacing w:before="0" w:after="0"/>
              <w:jc w:val="center"/>
              <w:rPr>
                <w:bCs/>
                <w:i/>
                <w:szCs w:val="20"/>
                <w:lang w:eastAsia="ro-RO"/>
              </w:rPr>
            </w:pPr>
            <w:r>
              <w:rPr>
                <w:bCs/>
                <w:i/>
                <w:szCs w:val="20"/>
                <w:lang w:eastAsia="ro-RO"/>
              </w:rPr>
              <w:t>Valoare totală eligibilă (euro)</w:t>
            </w:r>
          </w:p>
        </w:tc>
      </w:tr>
      <w:tr w:rsidR="00A16BF9" w:rsidRPr="00981EC3" w:rsidTr="00681530">
        <w:trPr>
          <w:trHeight w:val="300"/>
          <w:jc w:val="center"/>
        </w:trPr>
        <w:tc>
          <w:tcPr>
            <w:tcW w:w="2000" w:type="dxa"/>
            <w:tcBorders>
              <w:top w:val="single" w:sz="4" w:space="0" w:color="auto"/>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ALBA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17.192.898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5.157.869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22.350.767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ARAD</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13.546.515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4.063.954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17.610.469</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ARGEȘ</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19.180.717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5.754.215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24.934.933</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BACĂU</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19.273.923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5.782.177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25.056.099</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BIHOR</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20.626.511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6.187.953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26.814.464</w:t>
            </w:r>
          </w:p>
        </w:tc>
      </w:tr>
      <w:tr w:rsidR="00A16BF9" w:rsidRPr="00981EC3" w:rsidTr="00681530">
        <w:trPr>
          <w:trHeight w:val="33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BISTRIȚA-NĂSĂUD</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11.540.590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3.462.177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15.002.768</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BOTOȘANI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14.635.993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4.390.798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19.026.790</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BRAȘOV</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20.529.412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6.158.824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26.688.235</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BRĂILA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11.657.798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3.497.339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15.155.137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BUZĂU</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15.109.646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4.532.894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19.642.540</w:t>
            </w:r>
          </w:p>
        </w:tc>
      </w:tr>
      <w:tr w:rsidR="00A16BF9" w:rsidRPr="00981EC3" w:rsidTr="00681530">
        <w:trPr>
          <w:trHeight w:val="33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CARAȘ-SEVERIN</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13.081.202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3.924.361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17.005.562</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CĂLĂRAȘI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13.236.679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3.971.004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17.207.683</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CLUJ</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24.458.096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7.337.429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31.795.525</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CONSTANȚA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20.591.726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6.177.518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26.769.244</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COVASNA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12.092.108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3.627.632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15.719.740</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DÂMBOVIȚA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16.242.246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4.872.674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21.114.920</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DOLJ</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19.854.628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5.956.388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25.811.016</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GALAȚI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16.432.550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4.929.765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21.362.315</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GIURGIU</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11.328.667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3.398.600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14.727.267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lastRenderedPageBreak/>
              <w:t>GORJ</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13.697.737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4.109.321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17.807.057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HARGHITA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16.867.239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5.060.172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21.927.411</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HUNEDOARA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22.993.346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6.898.004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29.891.350</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IALOMIȚA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14.522.317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4.356.695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18.879.012</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IAȘI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20.682.053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6.204.616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26.886.669</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MARAMUREȘ</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15.828.467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4.748.540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20.577.007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MEHEDINȚI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12.635.967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3.790.790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16.426.757</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MUREȘ</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20.233.974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6.070.192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26.304.166</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NEAMȚ</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15.535.325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4.660.597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20.195.922</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OLT</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14.827.314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4.448.194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19.275.508</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PRAHOVA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19.516.153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5.854.846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25.370.999</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SATU MARE</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13.977.163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4.193.149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18.170.312</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SĂLAJ</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10.553.908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3.166.173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13.720.081</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SIBIU</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14.995.432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4.498.630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19.494.061</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SUCEAVA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23.200.356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6.960.107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30.160.463</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TELEORMAN</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15.604.195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4.681.258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20.285.453</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TIMIȘ</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19.421.233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5.826.370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25.247.603</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TULCEA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10.294.735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3.088.421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13.383.156</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VASLUI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16.231.466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4.869.440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21.100.906</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VÂLCEA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14.226.485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4.267.946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18.494.431</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VRANCEA</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13.778.839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4.133.652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17.912.490</w:t>
            </w:r>
          </w:p>
        </w:tc>
      </w:tr>
      <w:tr w:rsidR="00A16BF9" w:rsidRPr="00981EC3" w:rsidTr="00681530">
        <w:trPr>
          <w:trHeight w:val="300"/>
          <w:jc w:val="center"/>
        </w:trPr>
        <w:tc>
          <w:tcPr>
            <w:tcW w:w="2000" w:type="dxa"/>
            <w:tcBorders>
              <w:top w:val="nil"/>
              <w:left w:val="single" w:sz="4" w:space="0" w:color="auto"/>
              <w:bottom w:val="single" w:sz="4" w:space="0" w:color="auto"/>
              <w:right w:val="single" w:sz="4" w:space="0" w:color="auto"/>
            </w:tcBorders>
            <w:vAlign w:val="center"/>
          </w:tcPr>
          <w:p w:rsidR="00A16BF9" w:rsidRPr="00575F10" w:rsidRDefault="00A16BF9" w:rsidP="00681530">
            <w:pPr>
              <w:spacing w:before="0" w:after="0"/>
              <w:jc w:val="center"/>
            </w:pPr>
            <w:r w:rsidRPr="00575F10">
              <w:t>BUCUREȘTI</w:t>
            </w:r>
          </w:p>
        </w:tc>
        <w:tc>
          <w:tcPr>
            <w:tcW w:w="2745" w:type="dxa"/>
            <w:tcBorders>
              <w:top w:val="single" w:sz="4" w:space="0" w:color="auto"/>
              <w:left w:val="nil"/>
              <w:bottom w:val="single" w:sz="4" w:space="0" w:color="auto"/>
              <w:right w:val="single" w:sz="4" w:space="0" w:color="auto"/>
            </w:tcBorders>
            <w:vAlign w:val="center"/>
          </w:tcPr>
          <w:p w:rsidR="00A16BF9" w:rsidRPr="00A97C8A" w:rsidRDefault="00A16BF9" w:rsidP="00681530">
            <w:pPr>
              <w:spacing w:before="0" w:after="0"/>
              <w:jc w:val="center"/>
            </w:pPr>
            <w:r w:rsidRPr="00A97C8A">
              <w:t>34.168.591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10.250.577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A16BF9" w:rsidRPr="00A97C8A" w:rsidRDefault="00A16BF9" w:rsidP="00681530">
            <w:pPr>
              <w:spacing w:before="0" w:after="0"/>
              <w:jc w:val="center"/>
            </w:pPr>
            <w:r w:rsidRPr="00A97C8A">
              <w:t>44.419.168</w:t>
            </w:r>
          </w:p>
        </w:tc>
      </w:tr>
      <w:bookmarkEnd w:id="0"/>
    </w:tbl>
    <w:p w:rsidR="00952C7C" w:rsidRDefault="00952C7C" w:rsidP="00017B51">
      <w:pPr>
        <w:spacing w:before="0"/>
        <w:jc w:val="both"/>
        <w:rPr>
          <w:rFonts w:eastAsia="SimSun"/>
          <w:b/>
        </w:rPr>
      </w:pPr>
    </w:p>
    <w:p w:rsidR="009E37CA" w:rsidRDefault="009E37CA" w:rsidP="009E37CA">
      <w:pPr>
        <w:spacing w:before="0"/>
        <w:jc w:val="both"/>
        <w:rPr>
          <w:rFonts w:eastAsia="SimSun"/>
          <w:bCs/>
          <w:lang w:val="en-US"/>
        </w:rPr>
      </w:pPr>
      <w:r w:rsidRPr="00981EC3">
        <w:rPr>
          <w:rFonts w:eastAsia="SimSun"/>
          <w:bCs/>
        </w:rPr>
        <w:t xml:space="preserve">Pentru </w:t>
      </w:r>
      <w:r w:rsidRPr="00981EC3">
        <w:rPr>
          <w:rFonts w:eastAsia="SimSun"/>
          <w:b/>
          <w:bCs/>
        </w:rPr>
        <w:t>toate tipurile de solicitanți,</w:t>
      </w:r>
      <w:r w:rsidRPr="00981EC3">
        <w:rPr>
          <w:rFonts w:eastAsia="SimSun"/>
          <w:bCs/>
        </w:rPr>
        <w:t xml:space="preserve"> este prevăzută o alocare </w:t>
      </w:r>
      <w:r>
        <w:rPr>
          <w:rFonts w:eastAsia="SimSun"/>
          <w:bCs/>
        </w:rPr>
        <w:t>distinctă</w:t>
      </w:r>
      <w:r w:rsidRPr="00981EC3">
        <w:rPr>
          <w:rFonts w:eastAsia="SimSun"/>
          <w:bCs/>
        </w:rPr>
        <w:t xml:space="preserve"> pentru instalarea stațiilor de încărcare rapid</w:t>
      </w:r>
      <w:r>
        <w:rPr>
          <w:rFonts w:eastAsia="SimSun"/>
          <w:bCs/>
        </w:rPr>
        <w:t>ă, astfel</w:t>
      </w:r>
      <w:r>
        <w:rPr>
          <w:rFonts w:eastAsia="SimSun"/>
          <w:bCs/>
          <w:lang w:val="en-US"/>
        </w:rPr>
        <w:t>:</w:t>
      </w:r>
    </w:p>
    <w:p w:rsidR="009E37CA" w:rsidRDefault="009E37CA" w:rsidP="009E37CA">
      <w:pPr>
        <w:numPr>
          <w:ilvl w:val="0"/>
          <w:numId w:val="15"/>
        </w:numPr>
        <w:spacing w:before="0"/>
        <w:jc w:val="both"/>
        <w:rPr>
          <w:rFonts w:eastAsia="SimSun"/>
          <w:b/>
        </w:rPr>
      </w:pPr>
      <w:r w:rsidRPr="00571DD5">
        <w:rPr>
          <w:rFonts w:eastAsia="SimSun"/>
          <w:b/>
        </w:rPr>
        <w:t xml:space="preserve">alocare financiară din PNRR: </w:t>
      </w:r>
      <w:r>
        <w:rPr>
          <w:rFonts w:eastAsia="SimSun"/>
          <w:b/>
        </w:rPr>
        <w:t>10</w:t>
      </w:r>
      <w:r w:rsidRPr="00981EC3">
        <w:rPr>
          <w:rFonts w:eastAsia="SimSun"/>
          <w:b/>
        </w:rPr>
        <w:t>.</w:t>
      </w:r>
      <w:r>
        <w:rPr>
          <w:rFonts w:eastAsia="SimSun"/>
          <w:b/>
        </w:rPr>
        <w:t>0</w:t>
      </w:r>
      <w:r w:rsidRPr="00981EC3">
        <w:rPr>
          <w:rFonts w:eastAsia="SimSun"/>
          <w:b/>
        </w:rPr>
        <w:t>00.000 Euro</w:t>
      </w:r>
    </w:p>
    <w:p w:rsidR="009E37CA" w:rsidRPr="00571DD5" w:rsidRDefault="009E37CA" w:rsidP="009E37CA">
      <w:pPr>
        <w:numPr>
          <w:ilvl w:val="0"/>
          <w:numId w:val="15"/>
        </w:numPr>
        <w:spacing w:before="0"/>
        <w:jc w:val="both"/>
        <w:rPr>
          <w:rFonts w:eastAsia="SimSun"/>
          <w:b/>
        </w:rPr>
      </w:pPr>
      <w:r>
        <w:rPr>
          <w:rFonts w:eastAsia="SimSun"/>
          <w:b/>
        </w:rPr>
        <w:t>alocare</w:t>
      </w:r>
      <w:r w:rsidRPr="00571DD5">
        <w:rPr>
          <w:rFonts w:eastAsia="SimSun"/>
          <w:b/>
        </w:rPr>
        <w:t xml:space="preserve"> financiară suplimentară, pe lângă finanțarea din PNRR, conform art. 24 alin (1) din </w:t>
      </w:r>
      <w:proofErr w:type="spellStart"/>
      <w:r w:rsidRPr="00571DD5">
        <w:rPr>
          <w:rFonts w:eastAsia="SimSun"/>
          <w:b/>
        </w:rPr>
        <w:t>Ordonanţă</w:t>
      </w:r>
      <w:proofErr w:type="spellEnd"/>
      <w:r w:rsidRPr="00571DD5">
        <w:rPr>
          <w:rFonts w:eastAsia="SimSun"/>
          <w:b/>
        </w:rPr>
        <w:t xml:space="preserve"> de </w:t>
      </w:r>
      <w:proofErr w:type="spellStart"/>
      <w:r w:rsidRPr="00571DD5">
        <w:rPr>
          <w:rFonts w:eastAsia="SimSun"/>
          <w:b/>
        </w:rPr>
        <w:t>urgenţă</w:t>
      </w:r>
      <w:proofErr w:type="spellEnd"/>
      <w:r w:rsidRPr="00571DD5">
        <w:rPr>
          <w:rFonts w:eastAsia="SimSun"/>
          <w:b/>
        </w:rPr>
        <w:t xml:space="preserve"> nr. 124/2021: </w:t>
      </w:r>
      <w:r>
        <w:rPr>
          <w:rFonts w:eastAsia="SimSun"/>
          <w:b/>
        </w:rPr>
        <w:t>3.000</w:t>
      </w:r>
      <w:r w:rsidRPr="00571DD5">
        <w:rPr>
          <w:rFonts w:eastAsia="SimSun"/>
          <w:b/>
        </w:rPr>
        <w:t>.000 Euro</w:t>
      </w:r>
    </w:p>
    <w:p w:rsidR="009E37CA" w:rsidRPr="009E37CA" w:rsidRDefault="009E37CA" w:rsidP="009E37CA">
      <w:pPr>
        <w:numPr>
          <w:ilvl w:val="0"/>
          <w:numId w:val="15"/>
        </w:numPr>
        <w:spacing w:before="0"/>
        <w:jc w:val="both"/>
        <w:rPr>
          <w:rFonts w:eastAsia="SimSun"/>
          <w:bCs/>
        </w:rPr>
      </w:pPr>
      <w:r>
        <w:rPr>
          <w:rFonts w:eastAsia="SimSun"/>
          <w:b/>
        </w:rPr>
        <w:t>a</w:t>
      </w:r>
      <w:r w:rsidRPr="00571DD5">
        <w:rPr>
          <w:rFonts w:eastAsia="SimSun"/>
          <w:b/>
        </w:rPr>
        <w:t>locare financiară totală</w:t>
      </w:r>
      <w:r>
        <w:rPr>
          <w:rFonts w:eastAsia="SimSun"/>
          <w:b/>
          <w:lang w:val="en-US"/>
        </w:rPr>
        <w:t>: 13.000.000 Euro</w:t>
      </w:r>
    </w:p>
    <w:p w:rsidR="00017B51" w:rsidRDefault="009E37CA" w:rsidP="009E37CA">
      <w:pPr>
        <w:jc w:val="both"/>
        <w:rPr>
          <w:b/>
          <w:bCs/>
          <w:szCs w:val="20"/>
        </w:rPr>
      </w:pPr>
      <w:r w:rsidRPr="00981EC3">
        <w:rPr>
          <w:rFonts w:eastAsia="SimSun"/>
        </w:rPr>
        <w:t xml:space="preserve">Este </w:t>
      </w:r>
      <w:r w:rsidRPr="00981EC3">
        <w:rPr>
          <w:rFonts w:eastAsia="SimSun"/>
          <w:b/>
          <w:bCs/>
          <w:u w:val="single"/>
        </w:rPr>
        <w:t>obligatoriu</w:t>
      </w:r>
      <w:r w:rsidRPr="00981EC3">
        <w:rPr>
          <w:rFonts w:eastAsia="SimSun"/>
        </w:rPr>
        <w:t xml:space="preserve"> ca în cadrul fiecărei solicitări de finanțare să fie prevăzută </w:t>
      </w:r>
      <w:r w:rsidRPr="00981EC3">
        <w:rPr>
          <w:b/>
          <w:bCs/>
          <w:szCs w:val="20"/>
        </w:rPr>
        <w:t>instalarea a câte o stație de încărcare pentru vehiculele electrice (cu putere peste 22kW), cu două puncte de încărcare per stație, la fiecare 500 m</w:t>
      </w:r>
      <w:r w:rsidRPr="00981EC3">
        <w:rPr>
          <w:b/>
          <w:bCs/>
          <w:szCs w:val="20"/>
          <w:vertAlign w:val="superscript"/>
        </w:rPr>
        <w:t>2</w:t>
      </w:r>
      <w:r w:rsidRPr="00981EC3">
        <w:rPr>
          <w:b/>
          <w:bCs/>
          <w:szCs w:val="20"/>
        </w:rPr>
        <w:t xml:space="preserve"> arie </w:t>
      </w:r>
      <w:r>
        <w:rPr>
          <w:b/>
          <w:bCs/>
          <w:szCs w:val="20"/>
        </w:rPr>
        <w:t xml:space="preserve">desfășurată </w:t>
      </w:r>
      <w:r w:rsidRPr="00981EC3">
        <w:rPr>
          <w:b/>
          <w:bCs/>
          <w:szCs w:val="20"/>
        </w:rPr>
        <w:t>renovată, dar nu mai puțin de o stație de încărcare de acest tip per proiect.</w:t>
      </w:r>
    </w:p>
    <w:p w:rsidR="000D4E7D" w:rsidRPr="009E37CA" w:rsidRDefault="000D4E7D" w:rsidP="009E37CA">
      <w:pPr>
        <w:jc w:val="both"/>
        <w:rPr>
          <w:rFonts w:eastAsia="SimSun"/>
        </w:rPr>
      </w:pPr>
    </w:p>
    <w:p w:rsidR="00017B51" w:rsidRPr="00017B51" w:rsidRDefault="00017B51" w:rsidP="00017B51">
      <w:pPr>
        <w:spacing w:before="0"/>
        <w:jc w:val="both"/>
        <w:rPr>
          <w:rFonts w:eastAsia="SimSun"/>
          <w:b/>
          <w:sz w:val="24"/>
        </w:rPr>
      </w:pPr>
      <w:r w:rsidRPr="00017B51">
        <w:rPr>
          <w:rFonts w:eastAsia="SimSun"/>
          <w:b/>
          <w:sz w:val="24"/>
        </w:rPr>
        <w:t>Apelul de proiecte de renovare energetică aprofundată a clădirilor publice, titlu apel: PNRR/2022/C5/2/B.2.2/1</w:t>
      </w:r>
    </w:p>
    <w:p w:rsidR="00E357AA" w:rsidRPr="00E357AA" w:rsidRDefault="00E357AA" w:rsidP="00017B51">
      <w:pPr>
        <w:pStyle w:val="ListParagraph"/>
        <w:numPr>
          <w:ilvl w:val="0"/>
          <w:numId w:val="11"/>
        </w:numPr>
        <w:tabs>
          <w:tab w:val="left" w:pos="284"/>
        </w:tabs>
        <w:ind w:left="0" w:firstLine="0"/>
        <w:contextualSpacing w:val="0"/>
        <w:jc w:val="both"/>
        <w:rPr>
          <w:rFonts w:eastAsia="SimSun"/>
          <w:u w:val="single"/>
        </w:rPr>
      </w:pPr>
      <w:r w:rsidRPr="00E357AA">
        <w:rPr>
          <w:iCs/>
          <w:noProof/>
          <w:szCs w:val="20"/>
          <w:lang w:val="en-US" w:eastAsia="ro-RO"/>
        </w:rPr>
        <w:t xml:space="preserve">Astfel, </w:t>
      </w:r>
      <w:r w:rsidRPr="00E357AA">
        <w:rPr>
          <w:b/>
          <w:iCs/>
          <w:noProof/>
          <w:szCs w:val="20"/>
          <w:lang w:val="en-US" w:eastAsia="ro-RO"/>
        </w:rPr>
        <w:t xml:space="preserve">pentru apelul de proiecte de renovare </w:t>
      </w:r>
      <w:r>
        <w:rPr>
          <w:b/>
          <w:iCs/>
          <w:noProof/>
          <w:szCs w:val="20"/>
          <w:lang w:val="en-US" w:eastAsia="ro-RO"/>
        </w:rPr>
        <w:t>aprofundată</w:t>
      </w:r>
      <w:r w:rsidRPr="00E357AA">
        <w:rPr>
          <w:b/>
          <w:iCs/>
          <w:noProof/>
          <w:szCs w:val="20"/>
          <w:lang w:val="en-US" w:eastAsia="ro-RO"/>
        </w:rPr>
        <w:t xml:space="preserve"> a clădirilor publice, titlul apel </w:t>
      </w:r>
      <w:r w:rsidRPr="00E357AA">
        <w:rPr>
          <w:rFonts w:eastAsia="SimSun"/>
          <w:b/>
          <w:u w:val="single"/>
        </w:rPr>
        <w:t>PNRR/2022/C5/2/B.2.2/1 (</w:t>
      </w:r>
      <w:r w:rsidRPr="00E357AA">
        <w:rPr>
          <w:b/>
          <w:iCs/>
          <w:noProof/>
          <w:szCs w:val="20"/>
          <w:u w:val="single"/>
          <w:lang w:val="en-US" w:eastAsia="ro-RO"/>
        </w:rPr>
        <w:t>243.</w:t>
      </w:r>
      <w:r w:rsidR="004C2D38">
        <w:rPr>
          <w:b/>
          <w:iCs/>
          <w:noProof/>
          <w:szCs w:val="20"/>
          <w:u w:val="single"/>
          <w:lang w:val="en-US" w:eastAsia="ro-RO"/>
        </w:rPr>
        <w:t>760.400</w:t>
      </w:r>
      <w:r w:rsidRPr="00E357AA">
        <w:rPr>
          <w:b/>
          <w:iCs/>
          <w:noProof/>
          <w:szCs w:val="20"/>
          <w:u w:val="single"/>
          <w:lang w:val="en-US" w:eastAsia="ro-RO"/>
        </w:rPr>
        <w:t xml:space="preserve"> Euro</w:t>
      </w:r>
      <w:r w:rsidRPr="00E357AA">
        <w:rPr>
          <w:b/>
          <w:iCs/>
          <w:noProof/>
          <w:szCs w:val="20"/>
          <w:lang w:val="en-US" w:eastAsia="ro-RO"/>
        </w:rPr>
        <w:t>),</w:t>
      </w:r>
      <w:r>
        <w:rPr>
          <w:iCs/>
          <w:noProof/>
          <w:szCs w:val="20"/>
          <w:u w:val="single"/>
          <w:lang w:val="en-US" w:eastAsia="ro-RO"/>
        </w:rPr>
        <w:t xml:space="preserve"> </w:t>
      </w:r>
      <w:r w:rsidRPr="00E357AA">
        <w:rPr>
          <w:rFonts w:eastAsia="SimSun"/>
        </w:rPr>
        <w:t>sumele au fost distribuite între solicitanții eligibili, astfel:</w:t>
      </w:r>
    </w:p>
    <w:p w:rsidR="00E357AA" w:rsidRPr="00A16BF9" w:rsidRDefault="00E357AA" w:rsidP="00017B51">
      <w:pPr>
        <w:pStyle w:val="ListParagraph"/>
        <w:numPr>
          <w:ilvl w:val="0"/>
          <w:numId w:val="12"/>
        </w:numPr>
        <w:contextualSpacing w:val="0"/>
        <w:jc w:val="both"/>
        <w:rPr>
          <w:rFonts w:eastAsia="SimSun"/>
        </w:rPr>
      </w:pPr>
      <w:r w:rsidRPr="00A16BF9">
        <w:rPr>
          <w:iCs/>
          <w:noProof/>
          <w:szCs w:val="20"/>
          <w:lang w:eastAsia="ro-RO"/>
        </w:rPr>
        <w:t xml:space="preserve">autorități publice centrale – o alocare de </w:t>
      </w:r>
      <w:r>
        <w:rPr>
          <w:iCs/>
          <w:noProof/>
          <w:szCs w:val="20"/>
          <w:lang w:eastAsia="ro-RO"/>
        </w:rPr>
        <w:t>50</w:t>
      </w:r>
      <w:r w:rsidRPr="00A16BF9">
        <w:rPr>
          <w:iCs/>
          <w:noProof/>
          <w:szCs w:val="20"/>
          <w:lang w:eastAsia="ro-RO"/>
        </w:rPr>
        <w:t xml:space="preserve">% din </w:t>
      </w:r>
      <w:r>
        <w:rPr>
          <w:iCs/>
          <w:noProof/>
          <w:szCs w:val="20"/>
          <w:lang w:eastAsia="ro-RO"/>
        </w:rPr>
        <w:t>total,</w:t>
      </w:r>
    </w:p>
    <w:p w:rsidR="00E357AA" w:rsidRPr="00A16BF9" w:rsidRDefault="00E357AA" w:rsidP="00017B51">
      <w:pPr>
        <w:pStyle w:val="ListParagraph"/>
        <w:numPr>
          <w:ilvl w:val="0"/>
          <w:numId w:val="12"/>
        </w:numPr>
        <w:contextualSpacing w:val="0"/>
        <w:jc w:val="both"/>
        <w:rPr>
          <w:rFonts w:eastAsia="SimSun"/>
        </w:rPr>
      </w:pPr>
      <w:r w:rsidRPr="00A16BF9">
        <w:rPr>
          <w:rFonts w:eastAsia="SimSun"/>
        </w:rPr>
        <w:t xml:space="preserve">autorități/instituții publice locale – o alocare de </w:t>
      </w:r>
      <w:r>
        <w:rPr>
          <w:rFonts w:eastAsia="SimSun"/>
        </w:rPr>
        <w:t>50</w:t>
      </w:r>
      <w:r w:rsidRPr="00A16BF9">
        <w:rPr>
          <w:rFonts w:eastAsia="SimSun"/>
        </w:rPr>
        <w:t>% din total, repartizată pe județe</w:t>
      </w:r>
      <w:r>
        <w:rPr>
          <w:rFonts w:eastAsia="SimSun"/>
        </w:rPr>
        <w:t>.</w:t>
      </w:r>
    </w:p>
    <w:p w:rsidR="00E357AA" w:rsidRDefault="00E357AA" w:rsidP="00017B51">
      <w:pPr>
        <w:jc w:val="both"/>
        <w:rPr>
          <w:iCs/>
          <w:noProof/>
          <w:szCs w:val="20"/>
          <w:lang w:eastAsia="ro-RO"/>
        </w:rPr>
      </w:pPr>
    </w:p>
    <w:p w:rsidR="00E357AA" w:rsidRPr="00E357AA" w:rsidRDefault="00E357AA" w:rsidP="00017B51">
      <w:pPr>
        <w:pStyle w:val="ListParagraph"/>
        <w:numPr>
          <w:ilvl w:val="0"/>
          <w:numId w:val="13"/>
        </w:numPr>
        <w:ind w:left="426" w:hanging="426"/>
        <w:contextualSpacing w:val="0"/>
        <w:jc w:val="both"/>
        <w:rPr>
          <w:iCs/>
          <w:noProof/>
          <w:szCs w:val="20"/>
          <w:lang w:eastAsia="ro-RO"/>
        </w:rPr>
      </w:pPr>
      <w:r w:rsidRPr="00E357AA">
        <w:rPr>
          <w:iCs/>
          <w:noProof/>
          <w:szCs w:val="20"/>
          <w:lang w:eastAsia="ro-RO"/>
        </w:rPr>
        <w:t xml:space="preserve">Pentru solicitanții eligibili </w:t>
      </w:r>
      <w:r w:rsidRPr="00E357AA">
        <w:rPr>
          <w:b/>
          <w:iCs/>
          <w:noProof/>
          <w:szCs w:val="20"/>
          <w:lang w:eastAsia="ro-RO"/>
        </w:rPr>
        <w:t>Autorități publice centrale</w:t>
      </w:r>
      <w:r w:rsidRPr="00E357AA">
        <w:rPr>
          <w:iCs/>
          <w:noProof/>
          <w:szCs w:val="20"/>
          <w:lang w:eastAsia="ro-RO"/>
        </w:rPr>
        <w:t xml:space="preserve"> </w:t>
      </w:r>
      <w:r w:rsidRPr="00E357AA">
        <w:rPr>
          <w:szCs w:val="20"/>
        </w:rPr>
        <w:t>definiți la secțiunea 2.6 din Ghid</w:t>
      </w:r>
      <w:r w:rsidRPr="00E357AA">
        <w:rPr>
          <w:iCs/>
          <w:noProof/>
          <w:szCs w:val="20"/>
          <w:lang w:eastAsia="ro-RO"/>
        </w:rPr>
        <w:t xml:space="preserve">, alocare financiară totală este de </w:t>
      </w:r>
      <w:r w:rsidRPr="00E357AA">
        <w:rPr>
          <w:rFonts w:eastAsia="SimSun"/>
          <w:bCs/>
          <w:u w:val="single"/>
        </w:rPr>
        <w:t>121.880.200 Euro</w:t>
      </w:r>
      <w:r w:rsidRPr="00E357AA">
        <w:rPr>
          <w:iCs/>
          <w:noProof/>
          <w:szCs w:val="20"/>
          <w:u w:val="single"/>
          <w:lang w:val="en-US" w:eastAsia="ro-RO"/>
        </w:rPr>
        <w:t>, astfel</w:t>
      </w:r>
      <w:r w:rsidRPr="00E357AA">
        <w:rPr>
          <w:iCs/>
          <w:noProof/>
          <w:szCs w:val="20"/>
          <w:lang w:eastAsia="ro-RO"/>
        </w:rPr>
        <w:t>:</w:t>
      </w:r>
    </w:p>
    <w:p w:rsidR="00E357AA" w:rsidRPr="00E357AA" w:rsidRDefault="00E357AA" w:rsidP="00017B51">
      <w:pPr>
        <w:pStyle w:val="ListParagraph"/>
        <w:numPr>
          <w:ilvl w:val="0"/>
          <w:numId w:val="14"/>
        </w:numPr>
        <w:ind w:left="851"/>
        <w:contextualSpacing w:val="0"/>
        <w:jc w:val="both"/>
        <w:rPr>
          <w:iCs/>
          <w:noProof/>
          <w:szCs w:val="20"/>
          <w:u w:val="single"/>
          <w:lang w:eastAsia="ro-RO"/>
        </w:rPr>
      </w:pPr>
      <w:r w:rsidRPr="00E357AA">
        <w:rPr>
          <w:rFonts w:eastAsia="SimSun"/>
        </w:rPr>
        <w:t>Alocare financiară din PNRR:</w:t>
      </w:r>
      <w:r w:rsidRPr="00E357AA">
        <w:rPr>
          <w:rFonts w:eastAsia="SimSun"/>
          <w:bCs/>
        </w:rPr>
        <w:t xml:space="preserve"> </w:t>
      </w:r>
      <w:r w:rsidRPr="00E357AA">
        <w:rPr>
          <w:rFonts w:eastAsia="SimSun"/>
          <w:bCs/>
          <w:u w:val="single"/>
        </w:rPr>
        <w:t xml:space="preserve">93.754.000 </w:t>
      </w:r>
      <w:r w:rsidRPr="00E357AA">
        <w:rPr>
          <w:iCs/>
          <w:noProof/>
          <w:szCs w:val="20"/>
          <w:u w:val="single"/>
          <w:lang w:eastAsia="ro-RO"/>
        </w:rPr>
        <w:t>Euro</w:t>
      </w:r>
    </w:p>
    <w:p w:rsidR="00E357AA" w:rsidRDefault="00E357AA" w:rsidP="00017B51">
      <w:pPr>
        <w:pStyle w:val="ListParagraph"/>
        <w:numPr>
          <w:ilvl w:val="0"/>
          <w:numId w:val="14"/>
        </w:numPr>
        <w:ind w:left="851"/>
        <w:contextualSpacing w:val="0"/>
        <w:jc w:val="both"/>
        <w:rPr>
          <w:rFonts w:eastAsia="SimSun"/>
        </w:rPr>
      </w:pPr>
      <w:r w:rsidRPr="00E357AA">
        <w:rPr>
          <w:iCs/>
          <w:noProof/>
          <w:szCs w:val="20"/>
          <w:lang w:eastAsia="ro-RO"/>
        </w:rPr>
        <w:lastRenderedPageBreak/>
        <w:t xml:space="preserve">Alocare financiară suplimentară, pe lângă finanțarea din PNRR, conform art. 24 alin (1) din Ordonanţă de urgenţă nr. 124/2021: </w:t>
      </w:r>
      <w:r w:rsidRPr="00E357AA">
        <w:rPr>
          <w:rFonts w:eastAsia="SimSun"/>
          <w:u w:val="single"/>
        </w:rPr>
        <w:t xml:space="preserve">28.126.200 </w:t>
      </w:r>
      <w:r w:rsidRPr="00E357AA">
        <w:rPr>
          <w:iCs/>
          <w:noProof/>
          <w:szCs w:val="20"/>
          <w:lang w:eastAsia="ro-RO"/>
        </w:rPr>
        <w:t>Euro</w:t>
      </w:r>
      <w:r w:rsidRPr="00E357AA">
        <w:rPr>
          <w:rFonts w:eastAsia="SimSun"/>
        </w:rPr>
        <w:t>.</w:t>
      </w:r>
    </w:p>
    <w:p w:rsidR="00E357AA" w:rsidRPr="00E357AA" w:rsidRDefault="00E357AA" w:rsidP="00017B51">
      <w:pPr>
        <w:pStyle w:val="ListParagraph"/>
        <w:ind w:left="851"/>
        <w:contextualSpacing w:val="0"/>
        <w:jc w:val="both"/>
        <w:rPr>
          <w:rFonts w:eastAsia="SimSun"/>
        </w:rPr>
      </w:pPr>
    </w:p>
    <w:p w:rsidR="00E357AA" w:rsidRPr="00A16BF9" w:rsidRDefault="00E357AA" w:rsidP="00017B51">
      <w:pPr>
        <w:pStyle w:val="ListParagraph"/>
        <w:numPr>
          <w:ilvl w:val="0"/>
          <w:numId w:val="13"/>
        </w:numPr>
        <w:ind w:left="426"/>
        <w:contextualSpacing w:val="0"/>
        <w:jc w:val="both"/>
      </w:pPr>
      <w:r w:rsidRPr="00A16BF9">
        <w:rPr>
          <w:iCs/>
          <w:noProof/>
          <w:szCs w:val="20"/>
          <w:lang w:eastAsia="ro-RO"/>
        </w:rPr>
        <w:t xml:space="preserve">Pentru solicitanții eligibili </w:t>
      </w:r>
      <w:r w:rsidRPr="00E357AA">
        <w:rPr>
          <w:b/>
          <w:iCs/>
          <w:noProof/>
          <w:szCs w:val="20"/>
          <w:lang w:eastAsia="ro-RO"/>
        </w:rPr>
        <w:t>a</w:t>
      </w:r>
      <w:proofErr w:type="spellStart"/>
      <w:r w:rsidRPr="00E357AA">
        <w:rPr>
          <w:b/>
        </w:rPr>
        <w:t>utorități</w:t>
      </w:r>
      <w:proofErr w:type="spellEnd"/>
      <w:r w:rsidRPr="00E357AA">
        <w:rPr>
          <w:b/>
        </w:rPr>
        <w:t>/instituții publice locale</w:t>
      </w:r>
      <w:r w:rsidRPr="00A16BF9">
        <w:t xml:space="preserve"> definiți la secțiunea 2.6 din Ghid, alocarea financiară totală este de </w:t>
      </w:r>
      <w:r w:rsidRPr="00E357AA">
        <w:rPr>
          <w:rFonts w:eastAsia="SimSun"/>
          <w:bCs/>
          <w:u w:val="single"/>
        </w:rPr>
        <w:t>121.880.200 Euro</w:t>
      </w:r>
      <w:r w:rsidRPr="00E357AA">
        <w:rPr>
          <w:iCs/>
          <w:noProof/>
          <w:szCs w:val="20"/>
          <w:lang w:val="en-US" w:eastAsia="ro-RO"/>
        </w:rPr>
        <w:t>, astfel:</w:t>
      </w:r>
    </w:p>
    <w:p w:rsidR="00E357AA" w:rsidRPr="00E357AA" w:rsidRDefault="00E357AA" w:rsidP="00017B51">
      <w:pPr>
        <w:pStyle w:val="ListParagraph"/>
        <w:numPr>
          <w:ilvl w:val="0"/>
          <w:numId w:val="9"/>
        </w:numPr>
        <w:contextualSpacing w:val="0"/>
        <w:jc w:val="both"/>
        <w:rPr>
          <w:rFonts w:eastAsia="SimSun"/>
        </w:rPr>
      </w:pPr>
      <w:r w:rsidRPr="00E357AA">
        <w:rPr>
          <w:iCs/>
          <w:noProof/>
          <w:szCs w:val="20"/>
          <w:lang w:eastAsia="ro-RO"/>
        </w:rPr>
        <w:t xml:space="preserve">Alocare financiară din PNRR: </w:t>
      </w:r>
      <w:r w:rsidRPr="00E357AA">
        <w:rPr>
          <w:rFonts w:eastAsia="SimSun"/>
          <w:bCs/>
          <w:u w:val="single"/>
        </w:rPr>
        <w:t>93.754.000 Euro,</w:t>
      </w:r>
      <w:r w:rsidRPr="00E357AA">
        <w:rPr>
          <w:iCs/>
          <w:noProof/>
          <w:szCs w:val="20"/>
          <w:lang w:eastAsia="ro-RO"/>
        </w:rPr>
        <w:t xml:space="preserve"> </w:t>
      </w:r>
      <w:r w:rsidRPr="00E357AA">
        <w:rPr>
          <w:rFonts w:eastAsia="SimSun"/>
        </w:rPr>
        <w:t>repartizată teritorial, pe județe.</w:t>
      </w:r>
    </w:p>
    <w:p w:rsidR="00E357AA" w:rsidRPr="00E357AA" w:rsidRDefault="00E357AA" w:rsidP="00017B51">
      <w:pPr>
        <w:pStyle w:val="ListParagraph"/>
        <w:numPr>
          <w:ilvl w:val="0"/>
          <w:numId w:val="9"/>
        </w:numPr>
        <w:contextualSpacing w:val="0"/>
        <w:jc w:val="both"/>
        <w:rPr>
          <w:rFonts w:eastAsia="SimSun"/>
        </w:rPr>
      </w:pPr>
      <w:r w:rsidRPr="00E357AA">
        <w:rPr>
          <w:iCs/>
          <w:noProof/>
          <w:szCs w:val="20"/>
          <w:lang w:eastAsia="ro-RO"/>
        </w:rPr>
        <w:t xml:space="preserve">Alocare financiară suplimentară, pe lângă finanțarea din PNRR, conform art. 24 alin (1) din Ordonanţă de urgenţă nr. 124/2021: </w:t>
      </w:r>
      <w:r w:rsidRPr="00E357AA">
        <w:rPr>
          <w:rFonts w:eastAsia="SimSun"/>
          <w:bCs/>
          <w:u w:val="single"/>
        </w:rPr>
        <w:t>28.126.200 Euro</w:t>
      </w:r>
      <w:r w:rsidRPr="00E357AA">
        <w:rPr>
          <w:iCs/>
          <w:noProof/>
          <w:szCs w:val="20"/>
          <w:lang w:eastAsia="ro-RO"/>
        </w:rPr>
        <w:t xml:space="preserve">, </w:t>
      </w:r>
      <w:r w:rsidRPr="00E357AA">
        <w:rPr>
          <w:rFonts w:eastAsia="SimSun"/>
        </w:rPr>
        <w:t>repartizată teritorial, pe județe.</w:t>
      </w:r>
    </w:p>
    <w:p w:rsidR="00E357AA" w:rsidRPr="00A16BF9" w:rsidRDefault="00E357AA" w:rsidP="00017B51">
      <w:pPr>
        <w:jc w:val="both"/>
        <w:rPr>
          <w:rFonts w:eastAsia="SimSun"/>
        </w:rPr>
      </w:pPr>
      <w:r w:rsidRPr="00A16BF9">
        <w:rPr>
          <w:rFonts w:eastAsia="SimSun"/>
        </w:rPr>
        <w:t>Repartizarea teritorială pe județe a alocării aferente autorităților/ instituțiilor publice locale s-</w:t>
      </w:r>
      <w:r>
        <w:rPr>
          <w:rFonts w:eastAsia="SimSun"/>
        </w:rPr>
        <w:t>a</w:t>
      </w:r>
      <w:r w:rsidRPr="00A16BF9">
        <w:rPr>
          <w:rFonts w:eastAsia="SimSun"/>
        </w:rPr>
        <w:t xml:space="preserve"> făcut ținând cont de trei factori:</w:t>
      </w:r>
    </w:p>
    <w:p w:rsidR="00E357AA" w:rsidRPr="00A16BF9" w:rsidRDefault="00E357AA" w:rsidP="00017B51">
      <w:pPr>
        <w:pStyle w:val="ListParagraph"/>
        <w:numPr>
          <w:ilvl w:val="0"/>
          <w:numId w:val="5"/>
        </w:numPr>
        <w:contextualSpacing w:val="0"/>
        <w:jc w:val="both"/>
        <w:rPr>
          <w:rFonts w:eastAsia="SimSun"/>
        </w:rPr>
      </w:pPr>
      <w:r w:rsidRPr="00A16BF9">
        <w:rPr>
          <w:rFonts w:eastAsia="SimSun"/>
        </w:rPr>
        <w:t>35% din sumă distribuită în mod egal tuturor județelor</w:t>
      </w:r>
      <w:r>
        <w:rPr>
          <w:rFonts w:eastAsia="SimSun"/>
        </w:rPr>
        <w:t>,</w:t>
      </w:r>
    </w:p>
    <w:p w:rsidR="00E357AA" w:rsidRPr="00A16BF9" w:rsidRDefault="00E357AA" w:rsidP="00017B51">
      <w:pPr>
        <w:pStyle w:val="ListParagraph"/>
        <w:numPr>
          <w:ilvl w:val="0"/>
          <w:numId w:val="5"/>
        </w:numPr>
        <w:contextualSpacing w:val="0"/>
        <w:jc w:val="both"/>
        <w:rPr>
          <w:rFonts w:eastAsia="SimSun"/>
        </w:rPr>
      </w:pPr>
      <w:r w:rsidRPr="00A16BF9">
        <w:rPr>
          <w:rFonts w:eastAsia="SimSun"/>
        </w:rPr>
        <w:t>40% din sumă distribuită proporțional, în funcție de populația rezidentă din fiecare județ</w:t>
      </w:r>
      <w:r>
        <w:rPr>
          <w:rFonts w:eastAsia="SimSun"/>
        </w:rPr>
        <w:t>,</w:t>
      </w:r>
    </w:p>
    <w:p w:rsidR="00E357AA" w:rsidRPr="00A16BF9" w:rsidRDefault="00E357AA" w:rsidP="00017B51">
      <w:pPr>
        <w:pStyle w:val="ListParagraph"/>
        <w:numPr>
          <w:ilvl w:val="0"/>
          <w:numId w:val="5"/>
        </w:numPr>
        <w:contextualSpacing w:val="0"/>
        <w:jc w:val="both"/>
        <w:rPr>
          <w:rFonts w:eastAsia="SimSun"/>
        </w:rPr>
      </w:pPr>
      <w:r w:rsidRPr="00A16BF9">
        <w:rPr>
          <w:rFonts w:eastAsia="SimSun"/>
        </w:rPr>
        <w:t>25% din sumă distribuită proporțional, în funcție de numărul de municipii din fiecare județ</w:t>
      </w:r>
      <w:r>
        <w:rPr>
          <w:rFonts w:eastAsia="SimSun"/>
        </w:rPr>
        <w:t>.</w:t>
      </w:r>
    </w:p>
    <w:p w:rsidR="00E357AA" w:rsidRPr="00A16BF9" w:rsidRDefault="00E357AA" w:rsidP="00E357AA">
      <w:pPr>
        <w:spacing w:before="0"/>
        <w:jc w:val="both"/>
        <w:rPr>
          <w:rFonts w:eastAsia="SimSun"/>
        </w:rPr>
      </w:pPr>
      <w:r w:rsidRPr="00A16BF9">
        <w:rPr>
          <w:rFonts w:eastAsia="SimSun"/>
        </w:rPr>
        <w:t>Deoarece județul Ilfov nu are municipii, nu are alocare separată.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2253"/>
        <w:gridCol w:w="2543"/>
        <w:gridCol w:w="1734"/>
      </w:tblGrid>
      <w:tr w:rsidR="00E357AA" w:rsidRPr="00981EC3" w:rsidTr="00681530">
        <w:trPr>
          <w:jc w:val="center"/>
        </w:trPr>
        <w:tc>
          <w:tcPr>
            <w:tcW w:w="2506" w:type="dxa"/>
            <w:shd w:val="clear" w:color="auto" w:fill="auto"/>
          </w:tcPr>
          <w:p w:rsidR="00E357AA" w:rsidRPr="00981EC3" w:rsidRDefault="00E357AA" w:rsidP="00681530">
            <w:pPr>
              <w:spacing w:before="0" w:after="0"/>
              <w:jc w:val="center"/>
              <w:rPr>
                <w:rFonts w:eastAsia="SimSun"/>
                <w:szCs w:val="20"/>
              </w:rPr>
            </w:pPr>
            <w:r w:rsidRPr="00981EC3">
              <w:rPr>
                <w:rFonts w:eastAsia="SimSun"/>
                <w:szCs w:val="20"/>
              </w:rPr>
              <w:t>Județ</w:t>
            </w:r>
          </w:p>
        </w:tc>
        <w:tc>
          <w:tcPr>
            <w:tcW w:w="2273" w:type="dxa"/>
            <w:tcBorders>
              <w:bottom w:val="single" w:sz="8" w:space="0" w:color="auto"/>
            </w:tcBorders>
            <w:shd w:val="clear" w:color="auto" w:fill="auto"/>
          </w:tcPr>
          <w:p w:rsidR="00E357AA" w:rsidRPr="00981EC3" w:rsidRDefault="00E357AA" w:rsidP="00681530">
            <w:pPr>
              <w:spacing w:before="0" w:after="0"/>
              <w:jc w:val="center"/>
              <w:rPr>
                <w:bCs/>
                <w:i/>
                <w:szCs w:val="20"/>
                <w:lang w:eastAsia="ro-RO"/>
              </w:rPr>
            </w:pPr>
            <w:r w:rsidRPr="00981EC3">
              <w:rPr>
                <w:bCs/>
                <w:i/>
                <w:szCs w:val="20"/>
                <w:lang w:eastAsia="ro-RO"/>
              </w:rPr>
              <w:t>Valoare eligibilă PNRR</w:t>
            </w:r>
            <w:r w:rsidRPr="00981EC3">
              <w:rPr>
                <w:bCs/>
                <w:i/>
                <w:szCs w:val="20"/>
                <w:lang w:eastAsia="ro-RO"/>
              </w:rPr>
              <w:br/>
              <w:t>(euro)</w:t>
            </w:r>
          </w:p>
        </w:tc>
        <w:tc>
          <w:tcPr>
            <w:tcW w:w="2563" w:type="dxa"/>
            <w:tcBorders>
              <w:bottom w:val="single" w:sz="4" w:space="0" w:color="auto"/>
            </w:tcBorders>
          </w:tcPr>
          <w:p w:rsidR="00E357AA" w:rsidRPr="00981EC3" w:rsidRDefault="00E357AA" w:rsidP="00681530">
            <w:pPr>
              <w:spacing w:before="0" w:after="0"/>
              <w:jc w:val="center"/>
              <w:rPr>
                <w:bCs/>
                <w:i/>
                <w:szCs w:val="20"/>
                <w:lang w:eastAsia="ro-RO"/>
              </w:rPr>
            </w:pPr>
            <w:r>
              <w:rPr>
                <w:bCs/>
                <w:i/>
                <w:szCs w:val="20"/>
                <w:lang w:eastAsia="ro-RO"/>
              </w:rPr>
              <w:t>Valoare suplimentară cf. OUG 124/2021* (euro)</w:t>
            </w:r>
          </w:p>
        </w:tc>
        <w:tc>
          <w:tcPr>
            <w:tcW w:w="1745" w:type="dxa"/>
            <w:tcBorders>
              <w:bottom w:val="single" w:sz="4" w:space="0" w:color="auto"/>
            </w:tcBorders>
          </w:tcPr>
          <w:p w:rsidR="00E357AA" w:rsidRPr="00981EC3" w:rsidRDefault="00E357AA" w:rsidP="00681530">
            <w:pPr>
              <w:spacing w:before="0" w:after="0"/>
              <w:jc w:val="center"/>
              <w:rPr>
                <w:bCs/>
                <w:i/>
                <w:szCs w:val="20"/>
                <w:lang w:eastAsia="ro-RO"/>
              </w:rPr>
            </w:pPr>
            <w:r>
              <w:rPr>
                <w:bCs/>
                <w:i/>
                <w:szCs w:val="20"/>
                <w:lang w:eastAsia="ro-RO"/>
              </w:rPr>
              <w:t>Valoare totală eligibilă (euro)</w:t>
            </w:r>
          </w:p>
        </w:tc>
      </w:tr>
      <w:tr w:rsidR="00E357AA" w:rsidRPr="00981EC3" w:rsidTr="00681530">
        <w:trPr>
          <w:jc w:val="center"/>
        </w:trPr>
        <w:tc>
          <w:tcPr>
            <w:tcW w:w="2506" w:type="dxa"/>
          </w:tcPr>
          <w:p w:rsidR="00E357AA" w:rsidRPr="00981EC3" w:rsidRDefault="00E357AA" w:rsidP="00681530">
            <w:pPr>
              <w:spacing w:before="0" w:after="0"/>
              <w:jc w:val="center"/>
              <w:rPr>
                <w:szCs w:val="20"/>
              </w:rPr>
            </w:pPr>
            <w:r w:rsidRPr="00981EC3">
              <w:t>ALBA</w:t>
            </w:r>
          </w:p>
        </w:tc>
        <w:tc>
          <w:tcPr>
            <w:tcW w:w="2273" w:type="dxa"/>
            <w:tcBorders>
              <w:top w:val="single" w:sz="4" w:space="0" w:color="auto"/>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2.355.192</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706.557</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3.061.749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ARAD</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1.855.687</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556.706</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2.412.393</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ARGEȘ</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2.627.496</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788.249</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3.415.744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BACĂU</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2.640.263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792.079</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3.432.342</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BIHOR</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2.825.549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847.665</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3.673.214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BISTRIȚA-NĂSĂUD</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1.580.903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474.271</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2.055.174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BOTOȘANI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2.004.930</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601.479</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2.606.410</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BRAȘOV</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2.812.248</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843.674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3.655.923</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BRĂILA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1.596.959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479.088</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2.076.046</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BUZĂU</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2.069.815</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620.944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2.690.759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CARAȘ-SEVERIN</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1.791.945</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537.584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2.329.529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CĂLĂRAȘI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1.813.244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543.973</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2.357.217</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CLUJ</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3.350.424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1.005.127</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4.355.551</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CONSTANȚA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2.820.784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846.235</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3.667.020</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COVASNA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1.656.453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496.936</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2.153.389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DÂMBOVIȚA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2.224.965</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667.490</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2.892.455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DOLJ</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2.719.812</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815.944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3.535.756</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GALAȚI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2.251.034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675.310</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2.926.345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GIURGIU</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1.551.872</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465.562</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2.017.434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GORJ</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1.876.402</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562.921</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2.439.323</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HARGHITA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2.310.581</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693.174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3.003.755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HUNEDOARA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3.149.773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944.932</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4.094.705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IALOMIȚA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1.989.358</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596.808</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2.586.166</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IAȘI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2.833.158</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849.947</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3.683.105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MARAMUREȘ</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2.168.283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650.485</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2.818.768</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MEHEDINȚI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1.730.954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519.286</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2.250.241</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MUREȘ</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2.771.777</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831.533</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3.603.310</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NEAMȚ</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2.128.127</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638.438</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2.766.565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OLT</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2.031.139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609.342</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2.640.481</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PRAHOVA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2.673.446</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802.034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3.475.479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SATU MARE</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1.914.680</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574.404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2.489.084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SĂLAJ</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1.445.741</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433.722</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1.879.463</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SIBIU</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2.054.169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616.251</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2.670.419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SUCEAVA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3.178.131</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953.439</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4.131.570</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TELEORMAN</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2.137.561</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641.268</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2.778.829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TIMIȘ</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2.660.443</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798.133</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3.458.576</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TULCEA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1.410.238</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423.071</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1.833.309</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lastRenderedPageBreak/>
              <w:t>VASLUI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2.223.489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667.047</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2.890.535</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VÂLCEA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1.948.834</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584.650</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2.533.484</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VRANCEA</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1.887.512</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566.254</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2.453.766</w:t>
            </w:r>
          </w:p>
        </w:tc>
      </w:tr>
      <w:tr w:rsidR="00E357AA" w:rsidRPr="00981EC3" w:rsidTr="00681530">
        <w:trPr>
          <w:jc w:val="center"/>
        </w:trPr>
        <w:tc>
          <w:tcPr>
            <w:tcW w:w="2506" w:type="dxa"/>
          </w:tcPr>
          <w:p w:rsidR="00E357AA" w:rsidRPr="00981EC3" w:rsidRDefault="00E357AA" w:rsidP="00681530">
            <w:pPr>
              <w:spacing w:before="0" w:after="0"/>
              <w:jc w:val="center"/>
              <w:rPr>
                <w:rFonts w:cs="Calibri"/>
                <w:szCs w:val="20"/>
              </w:rPr>
            </w:pPr>
            <w:r w:rsidRPr="00981EC3">
              <w:t>BUCUREȘTI</w:t>
            </w:r>
          </w:p>
        </w:tc>
        <w:tc>
          <w:tcPr>
            <w:tcW w:w="2273" w:type="dxa"/>
            <w:tcBorders>
              <w:top w:val="nil"/>
              <w:left w:val="single" w:sz="4" w:space="0" w:color="auto"/>
              <w:bottom w:val="single" w:sz="4" w:space="0" w:color="auto"/>
              <w:right w:val="single" w:sz="4" w:space="0" w:color="auto"/>
            </w:tcBorders>
          </w:tcPr>
          <w:p w:rsidR="00E357AA" w:rsidRPr="00981EC3" w:rsidRDefault="00E357AA" w:rsidP="00681530">
            <w:pPr>
              <w:spacing w:before="0" w:after="0"/>
              <w:jc w:val="center"/>
              <w:rPr>
                <w:bCs/>
                <w:iCs/>
                <w:szCs w:val="20"/>
                <w:lang w:eastAsia="ro-RO"/>
              </w:rPr>
            </w:pPr>
            <w:r w:rsidRPr="00981EC3">
              <w:t>4.680.629</w:t>
            </w:r>
          </w:p>
        </w:tc>
        <w:tc>
          <w:tcPr>
            <w:tcW w:w="2563" w:type="dxa"/>
            <w:tcBorders>
              <w:top w:val="single" w:sz="4" w:space="0" w:color="auto"/>
              <w:left w:val="nil"/>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1.404.189</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bottom"/>
          </w:tcPr>
          <w:p w:rsidR="00E357AA" w:rsidRPr="00981EC3" w:rsidRDefault="00E357AA" w:rsidP="00681530">
            <w:pPr>
              <w:spacing w:before="0" w:after="0"/>
              <w:jc w:val="center"/>
            </w:pPr>
            <w:r w:rsidRPr="00A97C8A">
              <w:t>6.084.817</w:t>
            </w:r>
          </w:p>
        </w:tc>
      </w:tr>
    </w:tbl>
    <w:p w:rsidR="00643ABA" w:rsidRDefault="00643ABA" w:rsidP="00643ABA">
      <w:pPr>
        <w:spacing w:before="0"/>
        <w:jc w:val="both"/>
      </w:pPr>
    </w:p>
    <w:p w:rsidR="00643ABA" w:rsidRDefault="00643ABA" w:rsidP="00643ABA">
      <w:pPr>
        <w:spacing w:before="0"/>
        <w:jc w:val="both"/>
        <w:rPr>
          <w:rFonts w:eastAsia="SimSun"/>
          <w:bCs/>
          <w:lang w:val="en-US"/>
        </w:rPr>
      </w:pPr>
      <w:r w:rsidRPr="00981EC3">
        <w:rPr>
          <w:rFonts w:eastAsia="SimSun"/>
          <w:bCs/>
        </w:rPr>
        <w:t xml:space="preserve">Pentru </w:t>
      </w:r>
      <w:r w:rsidRPr="00981EC3">
        <w:rPr>
          <w:rFonts w:eastAsia="SimSun"/>
          <w:b/>
          <w:bCs/>
        </w:rPr>
        <w:t>toate tipurile de solicitanți</w:t>
      </w:r>
      <w:r>
        <w:rPr>
          <w:rFonts w:eastAsia="SimSun"/>
          <w:b/>
          <w:bCs/>
        </w:rPr>
        <w:t xml:space="preserve">, </w:t>
      </w:r>
      <w:r w:rsidRPr="00981EC3">
        <w:rPr>
          <w:rFonts w:eastAsia="SimSun"/>
          <w:bCs/>
        </w:rPr>
        <w:t xml:space="preserve">este prevăzută o alocare </w:t>
      </w:r>
      <w:r>
        <w:rPr>
          <w:rFonts w:eastAsia="SimSun"/>
          <w:bCs/>
        </w:rPr>
        <w:t>distinctă</w:t>
      </w:r>
      <w:r w:rsidRPr="00981EC3">
        <w:rPr>
          <w:rFonts w:eastAsia="SimSun"/>
          <w:bCs/>
        </w:rPr>
        <w:t xml:space="preserve"> pentru instalarea stațiilor de încărcare rapid</w:t>
      </w:r>
      <w:r>
        <w:rPr>
          <w:rFonts w:eastAsia="SimSun"/>
          <w:bCs/>
        </w:rPr>
        <w:t>ă, astfel</w:t>
      </w:r>
      <w:r>
        <w:rPr>
          <w:rFonts w:eastAsia="SimSun"/>
          <w:bCs/>
          <w:lang w:val="en-US"/>
        </w:rPr>
        <w:t>:</w:t>
      </w:r>
    </w:p>
    <w:p w:rsidR="00643ABA" w:rsidRDefault="00643ABA" w:rsidP="00643ABA">
      <w:pPr>
        <w:numPr>
          <w:ilvl w:val="0"/>
          <w:numId w:val="16"/>
        </w:numPr>
        <w:spacing w:before="0"/>
        <w:jc w:val="both"/>
        <w:rPr>
          <w:rFonts w:eastAsia="SimSun"/>
          <w:b/>
        </w:rPr>
      </w:pPr>
      <w:r w:rsidRPr="00A97C8A">
        <w:rPr>
          <w:rFonts w:eastAsia="SimSun"/>
          <w:b/>
        </w:rPr>
        <w:t xml:space="preserve">alocare financiară din PNRR: </w:t>
      </w:r>
      <w:r w:rsidRPr="00981EC3">
        <w:rPr>
          <w:rFonts w:eastAsia="SimSun"/>
          <w:b/>
        </w:rPr>
        <w:t>2.500.000 Euro</w:t>
      </w:r>
    </w:p>
    <w:p w:rsidR="00643ABA" w:rsidRPr="00A97C8A" w:rsidRDefault="00643ABA" w:rsidP="00643ABA">
      <w:pPr>
        <w:numPr>
          <w:ilvl w:val="0"/>
          <w:numId w:val="16"/>
        </w:numPr>
        <w:spacing w:before="0"/>
        <w:jc w:val="both"/>
        <w:rPr>
          <w:rFonts w:eastAsia="SimSun"/>
          <w:b/>
        </w:rPr>
      </w:pPr>
      <w:r>
        <w:rPr>
          <w:rFonts w:eastAsia="SimSun"/>
          <w:b/>
        </w:rPr>
        <w:t>alocare</w:t>
      </w:r>
      <w:r w:rsidRPr="00A97C8A">
        <w:rPr>
          <w:rFonts w:eastAsia="SimSun"/>
          <w:b/>
        </w:rPr>
        <w:t xml:space="preserve"> financiară suplimentară, pe lângă finanțarea din PNRR, conform art. 24 alin (1) din </w:t>
      </w:r>
      <w:proofErr w:type="spellStart"/>
      <w:r w:rsidRPr="00A97C8A">
        <w:rPr>
          <w:rFonts w:eastAsia="SimSun"/>
          <w:b/>
        </w:rPr>
        <w:t>Ordonanţă</w:t>
      </w:r>
      <w:proofErr w:type="spellEnd"/>
      <w:r w:rsidRPr="00A97C8A">
        <w:rPr>
          <w:rFonts w:eastAsia="SimSun"/>
          <w:b/>
        </w:rPr>
        <w:t xml:space="preserve"> de </w:t>
      </w:r>
      <w:proofErr w:type="spellStart"/>
      <w:r w:rsidRPr="00A97C8A">
        <w:rPr>
          <w:rFonts w:eastAsia="SimSun"/>
          <w:b/>
        </w:rPr>
        <w:t>urgenţă</w:t>
      </w:r>
      <w:proofErr w:type="spellEnd"/>
      <w:r w:rsidRPr="00A97C8A">
        <w:rPr>
          <w:rFonts w:eastAsia="SimSun"/>
          <w:b/>
        </w:rPr>
        <w:t xml:space="preserve"> nr. 124/2021: 750.000 Euro</w:t>
      </w:r>
    </w:p>
    <w:p w:rsidR="00643ABA" w:rsidRPr="00643ABA" w:rsidRDefault="00643ABA" w:rsidP="00643ABA">
      <w:pPr>
        <w:numPr>
          <w:ilvl w:val="0"/>
          <w:numId w:val="16"/>
        </w:numPr>
        <w:spacing w:before="0"/>
        <w:jc w:val="both"/>
        <w:rPr>
          <w:rFonts w:eastAsia="SimSun"/>
          <w:b/>
        </w:rPr>
      </w:pPr>
      <w:r>
        <w:rPr>
          <w:rFonts w:eastAsia="SimSun"/>
          <w:b/>
        </w:rPr>
        <w:t>a</w:t>
      </w:r>
      <w:r w:rsidRPr="00A97C8A">
        <w:rPr>
          <w:rFonts w:eastAsia="SimSun"/>
          <w:b/>
        </w:rPr>
        <w:t>locare financiară totală</w:t>
      </w:r>
      <w:r>
        <w:rPr>
          <w:rFonts w:eastAsia="SimSun"/>
          <w:b/>
          <w:lang w:val="en-US"/>
        </w:rPr>
        <w:t>: 3.250.000 Euro</w:t>
      </w:r>
    </w:p>
    <w:p w:rsidR="00052B2D" w:rsidRDefault="00643ABA" w:rsidP="00643ABA">
      <w:pPr>
        <w:jc w:val="both"/>
        <w:rPr>
          <w:b/>
          <w:bCs/>
          <w:szCs w:val="20"/>
        </w:rPr>
      </w:pPr>
      <w:r w:rsidRPr="00981EC3">
        <w:rPr>
          <w:rFonts w:eastAsia="SimSun"/>
        </w:rPr>
        <w:t xml:space="preserve">Este </w:t>
      </w:r>
      <w:r w:rsidRPr="00981EC3">
        <w:rPr>
          <w:rFonts w:eastAsia="SimSun"/>
          <w:b/>
          <w:bCs/>
          <w:u w:val="single"/>
        </w:rPr>
        <w:t>obligatoriu</w:t>
      </w:r>
      <w:r w:rsidRPr="00981EC3">
        <w:rPr>
          <w:rFonts w:eastAsia="SimSun"/>
        </w:rPr>
        <w:t xml:space="preserve"> ca în cadrul fiecărei solicitări de finanțare să fie prevăzută </w:t>
      </w:r>
      <w:r w:rsidRPr="00981EC3">
        <w:rPr>
          <w:b/>
          <w:bCs/>
          <w:szCs w:val="20"/>
        </w:rPr>
        <w:t>instalarea a câte o stație de încărcare pentru vehiculele electrice (cu putere peste 22kW), cu două puncte de încărcare per stație, la fiecare 500 m</w:t>
      </w:r>
      <w:r w:rsidRPr="00981EC3">
        <w:rPr>
          <w:b/>
          <w:bCs/>
          <w:szCs w:val="20"/>
          <w:vertAlign w:val="superscript"/>
        </w:rPr>
        <w:t>2</w:t>
      </w:r>
      <w:r w:rsidRPr="00981EC3">
        <w:rPr>
          <w:b/>
          <w:bCs/>
          <w:szCs w:val="20"/>
        </w:rPr>
        <w:t xml:space="preserve"> arie </w:t>
      </w:r>
      <w:r>
        <w:rPr>
          <w:b/>
          <w:bCs/>
          <w:szCs w:val="20"/>
        </w:rPr>
        <w:t xml:space="preserve">desfășurată </w:t>
      </w:r>
      <w:r w:rsidRPr="00981EC3">
        <w:rPr>
          <w:b/>
          <w:bCs/>
          <w:szCs w:val="20"/>
        </w:rPr>
        <w:t>renovată, dar nu mai puțin de o stație de încărcare de acest tip per proiect.</w:t>
      </w:r>
    </w:p>
    <w:p w:rsidR="0094333E" w:rsidRDefault="0094333E" w:rsidP="00643ABA">
      <w:pPr>
        <w:jc w:val="both"/>
      </w:pPr>
      <w:r>
        <w:tab/>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gridCol w:w="1883"/>
        <w:gridCol w:w="1545"/>
        <w:gridCol w:w="1609"/>
      </w:tblGrid>
      <w:tr w:rsidR="00052B2D" w:rsidRPr="00052B2D" w:rsidTr="00052B2D">
        <w:trPr>
          <w:trHeight w:val="1095"/>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Apel de proiecte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iCs/>
              </w:rPr>
              <w:t>Valoare eligibilă PNRR</w:t>
            </w:r>
            <w:r w:rsidRPr="00052B2D">
              <w:rPr>
                <w:b/>
                <w:iCs/>
              </w:rPr>
              <w:br/>
              <w:t>(euro)</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iCs/>
              </w:rPr>
              <w:t>Valoare suplimentară cf. OUG 124/2021* (euro)</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iCs/>
              </w:rPr>
              <w:t>Valoare totală eligibilă (euro)</w:t>
            </w:r>
          </w:p>
        </w:tc>
      </w:tr>
      <w:tr w:rsidR="00052B2D" w:rsidRPr="00052B2D" w:rsidTr="00052B2D">
        <w:trPr>
          <w:trHeight w:val="1251"/>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Renovare energetică moderată a clădirilor publice, titlu apel: PNRR/2022/C5/2/B.2.1/1</w:t>
            </w:r>
          </w:p>
          <w:p w:rsidR="00052B2D" w:rsidRPr="00052B2D" w:rsidRDefault="00052B2D" w:rsidP="00052B2D">
            <w:pPr>
              <w:jc w:val="both"/>
              <w:rPr>
                <w:bCs/>
                <w:iCs/>
              </w:rPr>
            </w:pPr>
            <w:r w:rsidRPr="00052B2D">
              <w:rPr>
                <w:bCs/>
                <w:iCs/>
              </w:rPr>
              <w:t>(</w:t>
            </w:r>
            <w:proofErr w:type="spellStart"/>
            <w:r w:rsidRPr="00052B2D">
              <w:rPr>
                <w:bCs/>
                <w:iCs/>
              </w:rPr>
              <w:t>autoritati</w:t>
            </w:r>
            <w:proofErr w:type="spellEnd"/>
            <w:r w:rsidRPr="00052B2D">
              <w:rPr>
                <w:bCs/>
                <w:iCs/>
              </w:rPr>
              <w:t xml:space="preserve"> publice centrale)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iCs/>
              </w:rPr>
              <w:t>65.627.800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iCs/>
              </w:rPr>
              <w:t>19.688.340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iCs/>
                <w:lang w:val="en-US"/>
              </w:rPr>
              <w:t>85.316.140</w:t>
            </w:r>
          </w:p>
        </w:tc>
      </w:tr>
      <w:tr w:rsidR="00052B2D" w:rsidRPr="00052B2D" w:rsidTr="00052B2D">
        <w:trPr>
          <w:trHeight w:val="1232"/>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Renovare energetică moderată a clădirilor publice, titlu apel: PNRR/2022/C5/2/B.2.1/1</w:t>
            </w:r>
          </w:p>
          <w:p w:rsidR="00052B2D" w:rsidRPr="00052B2D" w:rsidRDefault="00052B2D" w:rsidP="00052B2D">
            <w:pPr>
              <w:jc w:val="both"/>
              <w:rPr>
                <w:bCs/>
                <w:iCs/>
              </w:rPr>
            </w:pPr>
            <w:r w:rsidRPr="00052B2D">
              <w:rPr>
                <w:bCs/>
                <w:iCs/>
              </w:rPr>
              <w:t>(</w:t>
            </w:r>
            <w:proofErr w:type="spellStart"/>
            <w:r w:rsidRPr="00052B2D">
              <w:rPr>
                <w:bCs/>
                <w:iCs/>
              </w:rPr>
              <w:t>autoritati</w:t>
            </w:r>
            <w:proofErr w:type="spellEnd"/>
            <w:r w:rsidRPr="00052B2D">
              <w:rPr>
                <w:bCs/>
                <w:iCs/>
              </w:rPr>
              <w:t xml:space="preserve"> publice locale)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rPr>
              <w:t xml:space="preserve">684.404.200 </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rPr>
              <w:t>205.321.260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iCs/>
                <w:lang w:val="en-US"/>
              </w:rPr>
              <w:t>889.725.460</w:t>
            </w:r>
          </w:p>
        </w:tc>
      </w:tr>
      <w:tr w:rsidR="00052B2D" w:rsidRPr="00052B2D" w:rsidTr="00052B2D">
        <w:trPr>
          <w:trHeight w:val="547"/>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proofErr w:type="spellStart"/>
            <w:r w:rsidRPr="00052B2D">
              <w:rPr>
                <w:bCs/>
                <w:iCs/>
              </w:rPr>
              <w:t>Subtotal</w:t>
            </w:r>
            <w:proofErr w:type="spellEnd"/>
            <w:r w:rsidRPr="00052B2D">
              <w:rPr>
                <w:bCs/>
                <w:iCs/>
              </w:rPr>
              <w:t xml:space="preserve"> renovare energetică moderată</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rPr>
            </w:pPr>
            <w:r w:rsidRPr="00052B2D">
              <w:rPr>
                <w:b/>
              </w:rPr>
              <w:t>750.032.000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rPr>
            </w:pPr>
            <w:r w:rsidRPr="00052B2D">
              <w:rPr>
                <w:bCs/>
              </w:rPr>
              <w:t>225.096.000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lang w:val="en-US"/>
              </w:rPr>
            </w:pPr>
            <w:r w:rsidRPr="00052B2D">
              <w:rPr>
                <w:b/>
                <w:iCs/>
                <w:lang w:val="en-US"/>
              </w:rPr>
              <w:t>975.041.600</w:t>
            </w:r>
          </w:p>
        </w:tc>
      </w:tr>
      <w:tr w:rsidR="00052B2D" w:rsidRPr="00052B2D" w:rsidTr="00052B2D">
        <w:trPr>
          <w:trHeight w:val="547"/>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Stații de încărcare pentru vehicule electrice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iCs/>
              </w:rPr>
              <w:t>10.000.000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iCs/>
              </w:rPr>
              <w:t>3.000.000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iCs/>
              </w:rPr>
              <w:t>13.000.000</w:t>
            </w:r>
          </w:p>
        </w:tc>
      </w:tr>
      <w:tr w:rsidR="00052B2D" w:rsidRPr="00052B2D" w:rsidTr="00052B2D">
        <w:trPr>
          <w:trHeight w:val="547"/>
        </w:trPr>
        <w:tc>
          <w:tcPr>
            <w:tcW w:w="4604"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iCs/>
              </w:rPr>
            </w:pPr>
            <w:r w:rsidRPr="00052B2D">
              <w:rPr>
                <w:bCs/>
                <w:iCs/>
              </w:rPr>
              <w:t>SUBTOTAL Renovare energetică moderată PNRR/2022/C5/2/B.2.1/1</w:t>
            </w:r>
          </w:p>
        </w:tc>
        <w:tc>
          <w:tcPr>
            <w:tcW w:w="1969"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iCs/>
              </w:rPr>
            </w:pPr>
            <w:r w:rsidRPr="00052B2D">
              <w:rPr>
                <w:b/>
                <w:iCs/>
              </w:rPr>
              <w:t>760.032.000</w:t>
            </w:r>
          </w:p>
        </w:tc>
        <w:tc>
          <w:tcPr>
            <w:tcW w:w="1575"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iCs/>
              </w:rPr>
            </w:pPr>
            <w:r w:rsidRPr="00052B2D">
              <w:rPr>
                <w:bCs/>
                <w:iCs/>
              </w:rPr>
              <w:t>225.099.000</w:t>
            </w:r>
          </w:p>
        </w:tc>
        <w:tc>
          <w:tcPr>
            <w:tcW w:w="1181"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iCs/>
              </w:rPr>
            </w:pPr>
            <w:r w:rsidRPr="00052B2D">
              <w:rPr>
                <w:b/>
                <w:iCs/>
              </w:rPr>
              <w:t>988.041.600</w:t>
            </w:r>
          </w:p>
        </w:tc>
      </w:tr>
      <w:tr w:rsidR="00052B2D" w:rsidRPr="00052B2D" w:rsidTr="00052B2D">
        <w:trPr>
          <w:trHeight w:val="1251"/>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Renovare energetică aprofundată a clădirilor publice, titlu apel: PNRR/2022/C5/2/B.2.2/1</w:t>
            </w:r>
          </w:p>
          <w:p w:rsidR="00052B2D" w:rsidRPr="00052B2D" w:rsidRDefault="00052B2D" w:rsidP="00052B2D">
            <w:pPr>
              <w:jc w:val="both"/>
              <w:rPr>
                <w:bCs/>
                <w:iCs/>
              </w:rPr>
            </w:pPr>
            <w:r w:rsidRPr="00052B2D">
              <w:rPr>
                <w:bCs/>
                <w:iCs/>
              </w:rPr>
              <w:t>(</w:t>
            </w:r>
            <w:proofErr w:type="spellStart"/>
            <w:r w:rsidRPr="00052B2D">
              <w:rPr>
                <w:bCs/>
                <w:iCs/>
              </w:rPr>
              <w:t>autoritati</w:t>
            </w:r>
            <w:proofErr w:type="spellEnd"/>
            <w:r w:rsidRPr="00052B2D">
              <w:rPr>
                <w:bCs/>
                <w:iCs/>
              </w:rPr>
              <w:t xml:space="preserve"> publice centrale)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iCs/>
              </w:rPr>
              <w:t>93.754.000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rPr>
              <w:t>28.126.200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rPr>
              <w:t>121.880.200</w:t>
            </w:r>
          </w:p>
        </w:tc>
      </w:tr>
      <w:tr w:rsidR="00052B2D" w:rsidRPr="00052B2D" w:rsidTr="00052B2D">
        <w:trPr>
          <w:trHeight w:val="1232"/>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t>Renovare energetică aprofundată a clădirilor publice, titlu apel: PNRR/2022/C5/2/B.2.2/1</w:t>
            </w:r>
          </w:p>
          <w:p w:rsidR="00052B2D" w:rsidRPr="00052B2D" w:rsidRDefault="00052B2D" w:rsidP="00052B2D">
            <w:pPr>
              <w:jc w:val="both"/>
              <w:rPr>
                <w:bCs/>
                <w:iCs/>
              </w:rPr>
            </w:pPr>
            <w:r w:rsidRPr="00052B2D">
              <w:rPr>
                <w:bCs/>
                <w:iCs/>
              </w:rPr>
              <w:t>(</w:t>
            </w:r>
            <w:proofErr w:type="spellStart"/>
            <w:r w:rsidRPr="00052B2D">
              <w:rPr>
                <w:bCs/>
                <w:iCs/>
              </w:rPr>
              <w:t>autoritati</w:t>
            </w:r>
            <w:proofErr w:type="spellEnd"/>
            <w:r w:rsidRPr="00052B2D">
              <w:rPr>
                <w:bCs/>
                <w:iCs/>
              </w:rPr>
              <w:t xml:space="preserve"> publice locale)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iCs/>
              </w:rPr>
            </w:pPr>
            <w:r w:rsidRPr="00052B2D">
              <w:rPr>
                <w:b/>
              </w:rPr>
              <w:t>93.754.000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iCs/>
              </w:rPr>
            </w:pPr>
            <w:r w:rsidRPr="00052B2D">
              <w:rPr>
                <w:bCs/>
              </w:rPr>
              <w:t xml:space="preserve">28.126.200 </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iCs/>
              </w:rPr>
            </w:pPr>
            <w:r w:rsidRPr="00052B2D">
              <w:rPr>
                <w:b/>
              </w:rPr>
              <w:t>121.880.200</w:t>
            </w:r>
          </w:p>
        </w:tc>
      </w:tr>
      <w:tr w:rsidR="00052B2D" w:rsidRPr="00052B2D" w:rsidTr="00052B2D">
        <w:trPr>
          <w:trHeight w:val="567"/>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proofErr w:type="spellStart"/>
            <w:r w:rsidRPr="00052B2D">
              <w:rPr>
                <w:bCs/>
                <w:iCs/>
              </w:rPr>
              <w:t>Subtotal</w:t>
            </w:r>
            <w:proofErr w:type="spellEnd"/>
            <w:r w:rsidRPr="00052B2D">
              <w:rPr>
                <w:bCs/>
                <w:iCs/>
              </w:rPr>
              <w:t xml:space="preserve"> renovare energetică aprofundată PNRR/2022/C5/2/B.2.1/1</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rPr>
            </w:pPr>
            <w:r w:rsidRPr="00052B2D">
              <w:rPr>
                <w:b/>
              </w:rPr>
              <w:t>187.508.000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rPr>
            </w:pPr>
            <w:r w:rsidRPr="00052B2D">
              <w:rPr>
                <w:bCs/>
              </w:rPr>
              <w:t>56.252.000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rPr>
            </w:pPr>
            <w:r w:rsidRPr="00052B2D">
              <w:rPr>
                <w:b/>
              </w:rPr>
              <w:t>243.760.400</w:t>
            </w:r>
          </w:p>
        </w:tc>
      </w:tr>
      <w:tr w:rsidR="00052B2D" w:rsidRPr="00052B2D" w:rsidTr="00052B2D">
        <w:trPr>
          <w:trHeight w:val="547"/>
        </w:trPr>
        <w:tc>
          <w:tcPr>
            <w:tcW w:w="4604"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Cs/>
                <w:iCs/>
              </w:rPr>
            </w:pPr>
            <w:r w:rsidRPr="00052B2D">
              <w:rPr>
                <w:bCs/>
                <w:iCs/>
              </w:rPr>
              <w:lastRenderedPageBreak/>
              <w:t>Stații de încărcare pentru vehicule electrice</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
              </w:rPr>
            </w:pPr>
            <w:r w:rsidRPr="00052B2D">
              <w:rPr>
                <w:b/>
                <w:iCs/>
              </w:rPr>
              <w:t>2.500.000</w:t>
            </w:r>
          </w:p>
        </w:tc>
        <w:tc>
          <w:tcPr>
            <w:tcW w:w="1575" w:type="dxa"/>
            <w:tcBorders>
              <w:top w:val="single" w:sz="4" w:space="0" w:color="auto"/>
              <w:left w:val="single" w:sz="4" w:space="0" w:color="auto"/>
              <w:bottom w:val="single" w:sz="4" w:space="0" w:color="auto"/>
              <w:right w:val="single" w:sz="4" w:space="0" w:color="auto"/>
            </w:tcBorders>
            <w:shd w:val="clear" w:color="auto" w:fill="auto"/>
          </w:tcPr>
          <w:p w:rsidR="00052B2D" w:rsidRPr="00052B2D" w:rsidRDefault="00052B2D" w:rsidP="00052B2D">
            <w:pPr>
              <w:jc w:val="both"/>
              <w:rPr>
                <w:bCs/>
              </w:rPr>
            </w:pPr>
            <w:r w:rsidRPr="00052B2D">
              <w:rPr>
                <w:bCs/>
                <w:iCs/>
              </w:rPr>
              <w:t>750.000</w:t>
            </w:r>
          </w:p>
        </w:tc>
        <w:tc>
          <w:tcPr>
            <w:tcW w:w="1181" w:type="dxa"/>
            <w:tcBorders>
              <w:top w:val="single" w:sz="4" w:space="0" w:color="auto"/>
              <w:left w:val="single" w:sz="4" w:space="0" w:color="auto"/>
              <w:bottom w:val="single" w:sz="4" w:space="0" w:color="auto"/>
              <w:right w:val="single" w:sz="4" w:space="0" w:color="auto"/>
            </w:tcBorders>
          </w:tcPr>
          <w:p w:rsidR="00052B2D" w:rsidRPr="00052B2D" w:rsidRDefault="00052B2D" w:rsidP="00052B2D">
            <w:pPr>
              <w:jc w:val="both"/>
              <w:rPr>
                <w:b/>
              </w:rPr>
            </w:pPr>
            <w:r w:rsidRPr="00052B2D">
              <w:rPr>
                <w:b/>
                <w:iCs/>
              </w:rPr>
              <w:t>3.250.000</w:t>
            </w:r>
          </w:p>
        </w:tc>
      </w:tr>
      <w:tr w:rsidR="00052B2D" w:rsidRPr="00052B2D" w:rsidTr="00052B2D">
        <w:trPr>
          <w:trHeight w:val="328"/>
        </w:trPr>
        <w:tc>
          <w:tcPr>
            <w:tcW w:w="4604"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iCs/>
              </w:rPr>
            </w:pPr>
            <w:r w:rsidRPr="00052B2D">
              <w:rPr>
                <w:bCs/>
                <w:iCs/>
              </w:rPr>
              <w:t>SUBTOTAL Renovare energetică aprofundată PNRR/2022/C5/2/B.2.2/1</w:t>
            </w:r>
          </w:p>
        </w:tc>
        <w:tc>
          <w:tcPr>
            <w:tcW w:w="1969"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rPr>
            </w:pPr>
            <w:r w:rsidRPr="00052B2D">
              <w:rPr>
                <w:b/>
              </w:rPr>
              <w:t>190.008.000</w:t>
            </w:r>
          </w:p>
        </w:tc>
        <w:tc>
          <w:tcPr>
            <w:tcW w:w="1575"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rPr>
            </w:pPr>
            <w:r w:rsidRPr="00052B2D">
              <w:rPr>
                <w:bCs/>
              </w:rPr>
              <w:t>57.002.000</w:t>
            </w:r>
          </w:p>
        </w:tc>
        <w:tc>
          <w:tcPr>
            <w:tcW w:w="1181"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rPr>
            </w:pPr>
            <w:r w:rsidRPr="00052B2D">
              <w:rPr>
                <w:b/>
              </w:rPr>
              <w:t>247.010.400</w:t>
            </w:r>
          </w:p>
        </w:tc>
      </w:tr>
      <w:tr w:rsidR="00052B2D" w:rsidRPr="00052B2D" w:rsidTr="00052B2D">
        <w:trPr>
          <w:trHeight w:val="821"/>
        </w:trPr>
        <w:tc>
          <w:tcPr>
            <w:tcW w:w="4604"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iCs/>
              </w:rPr>
            </w:pPr>
            <w:r w:rsidRPr="00052B2D">
              <w:rPr>
                <w:bCs/>
                <w:iCs/>
              </w:rPr>
              <w:t>TOTAL Investiții renovare (</w:t>
            </w:r>
            <w:proofErr w:type="spellStart"/>
            <w:r w:rsidRPr="00052B2D">
              <w:rPr>
                <w:bCs/>
                <w:iCs/>
              </w:rPr>
              <w:t>moderată+aprofundată</w:t>
            </w:r>
            <w:proofErr w:type="spellEnd"/>
            <w:r w:rsidRPr="00052B2D">
              <w:rPr>
                <w:bCs/>
                <w:iCs/>
              </w:rPr>
              <w:t>) PNRR/2022/C5/2/B.2.1/1, PNRR/2022/C5/2/B.2.1/1</w:t>
            </w:r>
          </w:p>
        </w:tc>
        <w:tc>
          <w:tcPr>
            <w:tcW w:w="1969"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rPr>
            </w:pPr>
            <w:r w:rsidRPr="00052B2D">
              <w:rPr>
                <w:b/>
              </w:rPr>
              <w:t>950.040.000</w:t>
            </w:r>
          </w:p>
        </w:tc>
        <w:tc>
          <w:tcPr>
            <w:tcW w:w="1575"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Cs/>
              </w:rPr>
            </w:pPr>
            <w:r w:rsidRPr="00052B2D">
              <w:rPr>
                <w:bCs/>
              </w:rPr>
              <w:t>282.101.000</w:t>
            </w:r>
          </w:p>
        </w:tc>
        <w:tc>
          <w:tcPr>
            <w:tcW w:w="1181" w:type="dxa"/>
            <w:tcBorders>
              <w:top w:val="single" w:sz="4" w:space="0" w:color="auto"/>
              <w:left w:val="single" w:sz="4" w:space="0" w:color="auto"/>
              <w:bottom w:val="single" w:sz="4" w:space="0" w:color="auto"/>
              <w:right w:val="single" w:sz="4" w:space="0" w:color="auto"/>
            </w:tcBorders>
            <w:shd w:val="clear" w:color="auto" w:fill="B4C6E7"/>
          </w:tcPr>
          <w:p w:rsidR="00052B2D" w:rsidRPr="00052B2D" w:rsidRDefault="00052B2D" w:rsidP="00052B2D">
            <w:pPr>
              <w:jc w:val="both"/>
              <w:rPr>
                <w:b/>
                <w:lang w:val="en-US"/>
              </w:rPr>
            </w:pPr>
            <w:r w:rsidRPr="00052B2D">
              <w:rPr>
                <w:b/>
                <w:lang w:val="en-US"/>
              </w:rPr>
              <w:t>1.235.052.000</w:t>
            </w:r>
          </w:p>
        </w:tc>
      </w:tr>
    </w:tbl>
    <w:p w:rsidR="00052B2D" w:rsidRDefault="00052B2D" w:rsidP="00643ABA">
      <w:pPr>
        <w:jc w:val="both"/>
      </w:pPr>
      <w:bookmarkStart w:id="1" w:name="_GoBack"/>
      <w:bookmarkEnd w:id="1"/>
    </w:p>
    <w:sectPr w:rsidR="00052B2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9ED" w:rsidRDefault="003E69ED" w:rsidP="0094333E">
      <w:pPr>
        <w:spacing w:before="0" w:after="0"/>
      </w:pPr>
      <w:r>
        <w:separator/>
      </w:r>
    </w:p>
  </w:endnote>
  <w:endnote w:type="continuationSeparator" w:id="0">
    <w:p w:rsidR="003E69ED" w:rsidRDefault="003E69ED" w:rsidP="009433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9ED" w:rsidRDefault="003E69ED" w:rsidP="0094333E">
      <w:pPr>
        <w:spacing w:before="0" w:after="0"/>
      </w:pPr>
      <w:r>
        <w:separator/>
      </w:r>
    </w:p>
  </w:footnote>
  <w:footnote w:type="continuationSeparator" w:id="0">
    <w:p w:rsidR="003E69ED" w:rsidRDefault="003E69ED" w:rsidP="0094333E">
      <w:pPr>
        <w:spacing w:before="0" w:after="0"/>
      </w:pPr>
      <w:r>
        <w:continuationSeparator/>
      </w:r>
    </w:p>
  </w:footnote>
  <w:footnote w:id="1">
    <w:p w:rsidR="0094333E" w:rsidRDefault="0094333E" w:rsidP="0094333E">
      <w:pPr>
        <w:pStyle w:val="FootnoteText"/>
      </w:pPr>
      <w:r>
        <w:rPr>
          <w:rStyle w:val="FootnoteReference"/>
        </w:rPr>
        <w:footnoteRef/>
      </w:r>
      <w:r>
        <w:t xml:space="preserve"> </w:t>
      </w:r>
      <w:hyperlink r:id="rId1" w:history="1">
        <w:r w:rsidRPr="00285AE0">
          <w:rPr>
            <w:rStyle w:val="Hyperlink"/>
          </w:rPr>
          <w:t>https://eur-lex.europa.eu/legal-content/RO/TXT/PDF/?uri=CELEX:52021XC0218(01)&amp;from=EN</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9D"/>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C70B3E"/>
    <w:multiLevelType w:val="hybridMultilevel"/>
    <w:tmpl w:val="F0C8AA0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4E3904"/>
    <w:multiLevelType w:val="hybridMultilevel"/>
    <w:tmpl w:val="BDBC7DCC"/>
    <w:lvl w:ilvl="0" w:tplc="071AB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5CE"/>
    <w:multiLevelType w:val="hybridMultilevel"/>
    <w:tmpl w:val="05283F88"/>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780609"/>
    <w:multiLevelType w:val="hybridMultilevel"/>
    <w:tmpl w:val="B3AEC5C6"/>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1893B59"/>
    <w:multiLevelType w:val="hybridMultilevel"/>
    <w:tmpl w:val="F8CEB432"/>
    <w:lvl w:ilvl="0" w:tplc="2BC2303A">
      <w:numFmt w:val="bullet"/>
      <w:lvlText w:val="-"/>
      <w:lvlJc w:val="left"/>
      <w:pPr>
        <w:ind w:left="720" w:hanging="360"/>
      </w:pPr>
      <w:rPr>
        <w:rFonts w:ascii="Times New Roman" w:eastAsia="Times New Roman" w:hAnsi="Times New Roman" w:cs="Times New Roman" w:hint="default"/>
        <w:w w:val="99"/>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C2329"/>
    <w:multiLevelType w:val="hybridMultilevel"/>
    <w:tmpl w:val="22E054EC"/>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5F52AE"/>
    <w:multiLevelType w:val="hybridMultilevel"/>
    <w:tmpl w:val="B7664772"/>
    <w:lvl w:ilvl="0" w:tplc="313AC400">
      <w:start w:val="3"/>
      <w:numFmt w:val="bullet"/>
      <w:lvlText w:val="-"/>
      <w:lvlJc w:val="left"/>
      <w:pPr>
        <w:ind w:left="720" w:hanging="360"/>
      </w:pPr>
      <w:rPr>
        <w:rFonts w:ascii="Trebuchet MS" w:eastAsia="SimSun" w:hAnsi="Trebuchet MS"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5C281F"/>
    <w:multiLevelType w:val="hybridMultilevel"/>
    <w:tmpl w:val="CDA26EF4"/>
    <w:lvl w:ilvl="0" w:tplc="2BC2303A">
      <w:numFmt w:val="bullet"/>
      <w:lvlText w:val="-"/>
      <w:lvlJc w:val="left"/>
      <w:pPr>
        <w:ind w:left="720" w:hanging="360"/>
      </w:pPr>
      <w:rPr>
        <w:rFonts w:ascii="Times New Roman" w:eastAsia="Times New Roman" w:hAnsi="Times New Roman" w:cs="Times New Roman" w:hint="default"/>
        <w:w w:val="99"/>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660D5"/>
    <w:multiLevelType w:val="hybridMultilevel"/>
    <w:tmpl w:val="5E1014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E43109"/>
    <w:multiLevelType w:val="hybridMultilevel"/>
    <w:tmpl w:val="D4600698"/>
    <w:lvl w:ilvl="0" w:tplc="E27ADE3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18754B"/>
    <w:multiLevelType w:val="hybridMultilevel"/>
    <w:tmpl w:val="FF945A48"/>
    <w:lvl w:ilvl="0" w:tplc="AFDABDE4">
      <w:numFmt w:val="bullet"/>
      <w:lvlText w:val="-"/>
      <w:lvlJc w:val="left"/>
      <w:pPr>
        <w:ind w:left="720" w:hanging="360"/>
      </w:pPr>
      <w:rPr>
        <w:rFonts w:ascii="Times New Roman" w:eastAsia="Times New Roman" w:hAnsi="Times New Roman"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DF76CD"/>
    <w:multiLevelType w:val="hybridMultilevel"/>
    <w:tmpl w:val="92043E66"/>
    <w:lvl w:ilvl="0" w:tplc="D7F0C6FE">
      <w:start w:val="1"/>
      <w:numFmt w:val="upperRoman"/>
      <w:lvlText w:val="%1."/>
      <w:lvlJc w:val="left"/>
      <w:pPr>
        <w:ind w:left="1080" w:hanging="720"/>
      </w:pPr>
      <w:rPr>
        <w:rFonts w:eastAsia="Times New Roman"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E6C2117"/>
    <w:multiLevelType w:val="hybridMultilevel"/>
    <w:tmpl w:val="43FCA45A"/>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49A005B"/>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7"/>
  </w:num>
  <w:num w:numId="5">
    <w:abstractNumId w:val="9"/>
  </w:num>
  <w:num w:numId="6">
    <w:abstractNumId w:val="0"/>
  </w:num>
  <w:num w:numId="7">
    <w:abstractNumId w:val="4"/>
  </w:num>
  <w:num w:numId="8">
    <w:abstractNumId w:val="11"/>
  </w:num>
  <w:num w:numId="9">
    <w:abstractNumId w:val="6"/>
  </w:num>
  <w:num w:numId="10">
    <w:abstractNumId w:val="13"/>
  </w:num>
  <w:num w:numId="11">
    <w:abstractNumId w:val="12"/>
  </w:num>
  <w:num w:numId="12">
    <w:abstractNumId w:val="15"/>
  </w:num>
  <w:num w:numId="13">
    <w:abstractNumId w:val="3"/>
  </w:num>
  <w:num w:numId="14">
    <w:abstractNumId w:val="1"/>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33E"/>
    <w:rsid w:val="00017B51"/>
    <w:rsid w:val="00032D5D"/>
    <w:rsid w:val="00044EF1"/>
    <w:rsid w:val="00052AF4"/>
    <w:rsid w:val="00052B2D"/>
    <w:rsid w:val="00084D26"/>
    <w:rsid w:val="000A3A72"/>
    <w:rsid w:val="000A6BC0"/>
    <w:rsid w:val="000A7F9C"/>
    <w:rsid w:val="000C350E"/>
    <w:rsid w:val="000D366E"/>
    <w:rsid w:val="000D4E7D"/>
    <w:rsid w:val="00126BBB"/>
    <w:rsid w:val="001325C1"/>
    <w:rsid w:val="0013633A"/>
    <w:rsid w:val="00143470"/>
    <w:rsid w:val="00152775"/>
    <w:rsid w:val="00177807"/>
    <w:rsid w:val="00182263"/>
    <w:rsid w:val="00185063"/>
    <w:rsid w:val="00187814"/>
    <w:rsid w:val="001B571B"/>
    <w:rsid w:val="002173EC"/>
    <w:rsid w:val="00235798"/>
    <w:rsid w:val="0023754B"/>
    <w:rsid w:val="00257426"/>
    <w:rsid w:val="00263B66"/>
    <w:rsid w:val="00270C28"/>
    <w:rsid w:val="0027513D"/>
    <w:rsid w:val="002A1051"/>
    <w:rsid w:val="002A57A3"/>
    <w:rsid w:val="002D5D3E"/>
    <w:rsid w:val="00303CA2"/>
    <w:rsid w:val="00321E24"/>
    <w:rsid w:val="00332AD2"/>
    <w:rsid w:val="0034674D"/>
    <w:rsid w:val="00361A77"/>
    <w:rsid w:val="0036638D"/>
    <w:rsid w:val="00371D64"/>
    <w:rsid w:val="003847E4"/>
    <w:rsid w:val="003A137F"/>
    <w:rsid w:val="003A296F"/>
    <w:rsid w:val="003B626C"/>
    <w:rsid w:val="003E3322"/>
    <w:rsid w:val="003E5726"/>
    <w:rsid w:val="003E69ED"/>
    <w:rsid w:val="00400E53"/>
    <w:rsid w:val="00411E22"/>
    <w:rsid w:val="004304A7"/>
    <w:rsid w:val="00466818"/>
    <w:rsid w:val="00466BD8"/>
    <w:rsid w:val="00492B09"/>
    <w:rsid w:val="004B0E9A"/>
    <w:rsid w:val="004C2D38"/>
    <w:rsid w:val="00547433"/>
    <w:rsid w:val="0055323A"/>
    <w:rsid w:val="00554F7B"/>
    <w:rsid w:val="00567588"/>
    <w:rsid w:val="00591422"/>
    <w:rsid w:val="005A4392"/>
    <w:rsid w:val="005B0C86"/>
    <w:rsid w:val="00614706"/>
    <w:rsid w:val="00643ABA"/>
    <w:rsid w:val="00645E44"/>
    <w:rsid w:val="006709FA"/>
    <w:rsid w:val="00684F7D"/>
    <w:rsid w:val="006D4E53"/>
    <w:rsid w:val="007024DC"/>
    <w:rsid w:val="0073063B"/>
    <w:rsid w:val="00781C06"/>
    <w:rsid w:val="00791BDC"/>
    <w:rsid w:val="00795F32"/>
    <w:rsid w:val="007973A5"/>
    <w:rsid w:val="007A36BB"/>
    <w:rsid w:val="007F0F9A"/>
    <w:rsid w:val="00856DB7"/>
    <w:rsid w:val="008648DA"/>
    <w:rsid w:val="0087263D"/>
    <w:rsid w:val="0089384E"/>
    <w:rsid w:val="008B702D"/>
    <w:rsid w:val="008C0912"/>
    <w:rsid w:val="008D1C7D"/>
    <w:rsid w:val="008E1AAF"/>
    <w:rsid w:val="008F337E"/>
    <w:rsid w:val="00902A0E"/>
    <w:rsid w:val="0094333E"/>
    <w:rsid w:val="00951120"/>
    <w:rsid w:val="00951465"/>
    <w:rsid w:val="00952C7C"/>
    <w:rsid w:val="009572A5"/>
    <w:rsid w:val="00960704"/>
    <w:rsid w:val="009627C9"/>
    <w:rsid w:val="00976F75"/>
    <w:rsid w:val="00977877"/>
    <w:rsid w:val="009921B0"/>
    <w:rsid w:val="009D1A89"/>
    <w:rsid w:val="009E37CA"/>
    <w:rsid w:val="00A020BA"/>
    <w:rsid w:val="00A16BF9"/>
    <w:rsid w:val="00A22C68"/>
    <w:rsid w:val="00A3487D"/>
    <w:rsid w:val="00A82E1F"/>
    <w:rsid w:val="00AA0985"/>
    <w:rsid w:val="00AC04B0"/>
    <w:rsid w:val="00AC0F03"/>
    <w:rsid w:val="00AC7CE7"/>
    <w:rsid w:val="00AD7C13"/>
    <w:rsid w:val="00AE31D6"/>
    <w:rsid w:val="00B12424"/>
    <w:rsid w:val="00B2523D"/>
    <w:rsid w:val="00B81533"/>
    <w:rsid w:val="00B863D0"/>
    <w:rsid w:val="00B90D68"/>
    <w:rsid w:val="00BA14F1"/>
    <w:rsid w:val="00BB3D35"/>
    <w:rsid w:val="00BC04A2"/>
    <w:rsid w:val="00BC7F66"/>
    <w:rsid w:val="00BE12B5"/>
    <w:rsid w:val="00BF3BDE"/>
    <w:rsid w:val="00C002BB"/>
    <w:rsid w:val="00C14953"/>
    <w:rsid w:val="00C21089"/>
    <w:rsid w:val="00C328B7"/>
    <w:rsid w:val="00C36246"/>
    <w:rsid w:val="00C46220"/>
    <w:rsid w:val="00C85978"/>
    <w:rsid w:val="00CA1FAF"/>
    <w:rsid w:val="00CC1384"/>
    <w:rsid w:val="00CC2AFE"/>
    <w:rsid w:val="00CD2DA6"/>
    <w:rsid w:val="00CD5478"/>
    <w:rsid w:val="00CF462A"/>
    <w:rsid w:val="00D33140"/>
    <w:rsid w:val="00D40C86"/>
    <w:rsid w:val="00D931EB"/>
    <w:rsid w:val="00D94BBC"/>
    <w:rsid w:val="00DC25E2"/>
    <w:rsid w:val="00DD49BE"/>
    <w:rsid w:val="00E02145"/>
    <w:rsid w:val="00E357AA"/>
    <w:rsid w:val="00E42FB4"/>
    <w:rsid w:val="00E53370"/>
    <w:rsid w:val="00E55B55"/>
    <w:rsid w:val="00E6770F"/>
    <w:rsid w:val="00E72840"/>
    <w:rsid w:val="00E94285"/>
    <w:rsid w:val="00EA631C"/>
    <w:rsid w:val="00EE02D3"/>
    <w:rsid w:val="00EE7537"/>
    <w:rsid w:val="00F00010"/>
    <w:rsid w:val="00F13324"/>
    <w:rsid w:val="00F204EC"/>
    <w:rsid w:val="00F8213C"/>
    <w:rsid w:val="00FE2C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5D0A8"/>
  <w15:chartTrackingRefBased/>
  <w15:docId w15:val="{E6FCBC35-E404-4858-AE27-DB74882B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33E"/>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94333E"/>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94333E"/>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94333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4333E"/>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94333E"/>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94333E"/>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94333E"/>
    <w:pPr>
      <w:keepNext/>
      <w:numPr>
        <w:ilvl w:val="6"/>
        <w:numId w:val="1"/>
      </w:numPr>
      <w:jc w:val="center"/>
      <w:outlineLvl w:val="6"/>
    </w:pPr>
    <w:rPr>
      <w:sz w:val="24"/>
    </w:rPr>
  </w:style>
  <w:style w:type="paragraph" w:styleId="Heading8">
    <w:name w:val="heading 8"/>
    <w:basedOn w:val="Normal"/>
    <w:next w:val="Normal"/>
    <w:link w:val="Heading8Char"/>
    <w:qFormat/>
    <w:rsid w:val="0094333E"/>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94333E"/>
    <w:pPr>
      <w:keepNext/>
      <w:numPr>
        <w:ilvl w:val="8"/>
        <w:numId w:val="1"/>
      </w:numPr>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33E"/>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94333E"/>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94333E"/>
    <w:rPr>
      <w:rFonts w:ascii="Trebuchet MS" w:eastAsia="Times New Roman" w:hAnsi="Trebuchet MS" w:cs="Arial"/>
      <w:b/>
      <w:bCs/>
      <w:sz w:val="20"/>
      <w:szCs w:val="26"/>
    </w:rPr>
  </w:style>
  <w:style w:type="character" w:customStyle="1" w:styleId="Heading4Char">
    <w:name w:val="Heading 4 Char"/>
    <w:basedOn w:val="DefaultParagraphFont"/>
    <w:link w:val="Heading4"/>
    <w:rsid w:val="0094333E"/>
    <w:rPr>
      <w:rFonts w:ascii="Trebuchet MS" w:eastAsia="Times New Roman" w:hAnsi="Trebuchet MS" w:cs="Arial"/>
      <w:b/>
      <w:bCs/>
      <w:sz w:val="20"/>
      <w:szCs w:val="28"/>
    </w:rPr>
  </w:style>
  <w:style w:type="character" w:customStyle="1" w:styleId="Heading5Char">
    <w:name w:val="Heading 5 Char"/>
    <w:basedOn w:val="DefaultParagraphFont"/>
    <w:link w:val="Heading5"/>
    <w:rsid w:val="0094333E"/>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94333E"/>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94333E"/>
    <w:rPr>
      <w:rFonts w:ascii="Trebuchet MS" w:eastAsia="Times New Roman" w:hAnsi="Trebuchet MS" w:cs="Times New Roman"/>
      <w:sz w:val="24"/>
      <w:szCs w:val="24"/>
    </w:rPr>
  </w:style>
  <w:style w:type="character" w:customStyle="1" w:styleId="Heading8Char">
    <w:name w:val="Heading 8 Char"/>
    <w:basedOn w:val="DefaultParagraphFont"/>
    <w:link w:val="Heading8"/>
    <w:rsid w:val="0094333E"/>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94333E"/>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94333E"/>
    <w:pPr>
      <w:spacing w:before="0" w:after="0"/>
    </w:pPr>
    <w:rPr>
      <w:sz w:val="16"/>
      <w:szCs w:val="20"/>
    </w:rPr>
  </w:style>
  <w:style w:type="character" w:customStyle="1" w:styleId="FootnoteTextChar">
    <w:name w:val="Footnote Text Char"/>
    <w:basedOn w:val="DefaultParagraphFont"/>
    <w:uiPriority w:val="99"/>
    <w:semiHidden/>
    <w:rsid w:val="0094333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94333E"/>
    <w:rPr>
      <w:vertAlign w:val="superscript"/>
    </w:rPr>
  </w:style>
  <w:style w:type="character" w:styleId="Hyperlink">
    <w:name w:val="Hyperlink"/>
    <w:uiPriority w:val="99"/>
    <w:rsid w:val="0094333E"/>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94333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333E"/>
    <w:pPr>
      <w:spacing w:before="0"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951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1944</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11</cp:revision>
  <dcterms:created xsi:type="dcterms:W3CDTF">2022-02-03T00:46:00Z</dcterms:created>
  <dcterms:modified xsi:type="dcterms:W3CDTF">2022-02-04T06:37:00Z</dcterms:modified>
</cp:coreProperties>
</file>